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DF" w:rsidRPr="00D811DF" w:rsidRDefault="00D811DF" w:rsidP="00D811DF">
      <w:pPr>
        <w:widowControl/>
        <w:shd w:val="clear" w:color="auto" w:fill="FFFFFF"/>
        <w:jc w:val="center"/>
        <w:rPr>
          <w:rFonts w:ascii="方正小标宋简体" w:eastAsia="方正小标宋简体" w:hAnsi="方正小标宋简体" w:cs="Tahoma" w:hint="eastAsia"/>
          <w:color w:val="181818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 w:rsidRPr="00D811DF">
        <w:rPr>
          <w:rFonts w:ascii="方正小标宋简体" w:eastAsia="方正小标宋简体" w:hAnsi="方正小标宋简体" w:cs="Tahoma" w:hint="eastAsia"/>
          <w:color w:val="181818"/>
          <w:kern w:val="0"/>
          <w:sz w:val="44"/>
          <w:szCs w:val="44"/>
          <w:shd w:val="clear" w:color="auto" w:fill="FFFFFF"/>
          <w:lang w:bidi="ar"/>
        </w:rPr>
        <w:t>关于3000万元以下建设项目前期工作咨询收费的批复</w:t>
      </w:r>
      <w:bookmarkEnd w:id="0"/>
    </w:p>
    <w:p w:rsidR="0009074D" w:rsidRPr="00D811DF" w:rsidRDefault="0015476F">
      <w:pPr>
        <w:widowControl/>
        <w:shd w:val="clear" w:color="auto" w:fill="FFFFFF"/>
        <w:jc w:val="center"/>
        <w:rPr>
          <w:rFonts w:ascii="仿宋_GB2312" w:eastAsia="仿宋_GB2312" w:hAnsi="Tahoma" w:cs="Tahoma" w:hint="eastAsia"/>
          <w:color w:val="181818"/>
          <w:sz w:val="28"/>
          <w:szCs w:val="28"/>
        </w:rPr>
      </w:pPr>
      <w:proofErr w:type="gramStart"/>
      <w:r w:rsidRPr="00D811DF">
        <w:rPr>
          <w:rFonts w:ascii="仿宋_GB2312" w:eastAsia="仿宋_GB2312" w:hAnsi="Tahoma" w:cs="Tahoma" w:hint="eastAsia"/>
          <w:color w:val="181818"/>
          <w:kern w:val="0"/>
          <w:sz w:val="28"/>
          <w:szCs w:val="28"/>
          <w:shd w:val="clear" w:color="auto" w:fill="FFFFFF"/>
          <w:lang w:bidi="ar"/>
        </w:rPr>
        <w:t>内发改费</w:t>
      </w:r>
      <w:proofErr w:type="gramEnd"/>
      <w:r w:rsidRPr="00D811DF">
        <w:rPr>
          <w:rFonts w:ascii="仿宋_GB2312" w:eastAsia="仿宋_GB2312" w:hAnsi="Tahoma" w:cs="Tahoma" w:hint="eastAsia"/>
          <w:color w:val="181818"/>
          <w:kern w:val="0"/>
          <w:sz w:val="28"/>
          <w:szCs w:val="28"/>
          <w:shd w:val="clear" w:color="auto" w:fill="FFFFFF"/>
          <w:lang w:bidi="ar"/>
        </w:rPr>
        <w:t>字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28"/>
          <w:szCs w:val="28"/>
          <w:shd w:val="clear" w:color="auto" w:fill="FFFFFF"/>
          <w:lang w:bidi="ar"/>
        </w:rPr>
        <w:t>[2004]990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28"/>
          <w:szCs w:val="28"/>
          <w:shd w:val="clear" w:color="auto" w:fill="FFFFFF"/>
          <w:lang w:bidi="ar"/>
        </w:rPr>
        <w:t>号</w:t>
      </w:r>
    </w:p>
    <w:p w:rsidR="00D811DF" w:rsidRDefault="0015476F" w:rsidP="00D811DF">
      <w:pPr>
        <w:widowControl/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</w:pP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内蒙古自治区工程咨询协会：</w:t>
      </w:r>
    </w:p>
    <w:p w:rsidR="00D811DF" w:rsidRDefault="0015476F" w:rsidP="00D811DF">
      <w:pPr>
        <w:widowControl/>
        <w:ind w:firstLineChars="200" w:firstLine="640"/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</w:pPr>
      <w:proofErr w:type="gramStart"/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你协会</w:t>
      </w:r>
      <w:proofErr w:type="gramEnd"/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《关于制定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3000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万元以下建设项目前期工程咨询收费标准的请示》（内</w:t>
      </w:r>
      <w:proofErr w:type="gramStart"/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咨</w:t>
      </w:r>
      <w:proofErr w:type="gramEnd"/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协字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[2004]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第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2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号）收悉。根据《国家计委关于印发建设项目前期咨询收费暂行规定的通知》（计价格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[1999]1283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号）规定，结合我区实际，为规范建设项目前期工作资讯收费行为，促进我区工程咨询事业健康发展，现将我区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3000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万元以下建设项目全区工程咨询收费标准批复如下（见附件）请遵照执行。</w:t>
      </w:r>
    </w:p>
    <w:p w:rsidR="00D811DF" w:rsidRDefault="0015476F" w:rsidP="00D811DF">
      <w:pPr>
        <w:widowControl/>
        <w:ind w:firstLineChars="200" w:firstLine="640"/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</w:pP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各执行单位实施收费前须到同等价格主管部门申请经营服务性《收费许可证》，持证收费，自觉接受价格主管部门的监督检查。</w:t>
      </w:r>
    </w:p>
    <w:p w:rsidR="00D811DF" w:rsidRDefault="0015476F" w:rsidP="00D811DF">
      <w:pPr>
        <w:widowControl/>
        <w:ind w:firstLineChars="200" w:firstLine="640"/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</w:pP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本批复自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2004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年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6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月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20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日起执行。</w:t>
      </w:r>
    </w:p>
    <w:p w:rsidR="00D811DF" w:rsidRDefault="00D811DF" w:rsidP="00D811DF">
      <w:pPr>
        <w:widowControl/>
        <w:ind w:firstLineChars="200" w:firstLine="640"/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</w:pPr>
    </w:p>
    <w:p w:rsidR="00D811DF" w:rsidRDefault="0015476F" w:rsidP="00D811DF">
      <w:pPr>
        <w:widowControl/>
        <w:ind w:firstLineChars="200" w:firstLine="640"/>
        <w:jc w:val="right"/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</w:pP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二</w:t>
      </w:r>
      <w:r w:rsidRPr="00D811DF">
        <w:rPr>
          <w:rFonts w:ascii="宋体" w:eastAsia="宋体" w:hAnsi="宋体" w:cs="宋体" w:hint="eastAsia"/>
          <w:color w:val="181818"/>
          <w:kern w:val="0"/>
          <w:sz w:val="32"/>
          <w:szCs w:val="32"/>
          <w:shd w:val="clear" w:color="auto" w:fill="FFFFFF"/>
          <w:lang w:bidi="ar"/>
        </w:rPr>
        <w:t>〇〇</w:t>
      </w:r>
      <w:r w:rsidRPr="00D811DF">
        <w:rPr>
          <w:rFonts w:ascii="仿宋_GB2312" w:eastAsia="仿宋_GB2312" w:hAnsi="仿宋_GB2312" w:cs="仿宋_GB2312" w:hint="eastAsia"/>
          <w:color w:val="181818"/>
          <w:kern w:val="0"/>
          <w:sz w:val="32"/>
          <w:szCs w:val="32"/>
          <w:shd w:val="clear" w:color="auto" w:fill="FFFFFF"/>
          <w:lang w:bidi="ar"/>
        </w:rPr>
        <w:t>四年六月十六日</w:t>
      </w:r>
    </w:p>
    <w:p w:rsidR="00D811DF" w:rsidRDefault="0015476F" w:rsidP="00D811DF">
      <w:pPr>
        <w:widowControl/>
        <w:ind w:firstLineChars="200" w:firstLine="640"/>
        <w:jc w:val="left"/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</w:pP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 xml:space="preserve">主题词：经济管理　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价格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 xml:space="preserve">收费　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D811DF"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  <w:t>批复</w:t>
      </w:r>
    </w:p>
    <w:p w:rsidR="00D811DF" w:rsidRDefault="00D811DF" w:rsidP="00D811DF">
      <w:pPr>
        <w:widowControl/>
        <w:jc w:val="left"/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</w:pPr>
    </w:p>
    <w:p w:rsidR="00D811DF" w:rsidRDefault="00D811DF" w:rsidP="00D811DF">
      <w:pPr>
        <w:widowControl/>
        <w:jc w:val="left"/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</w:pPr>
    </w:p>
    <w:p w:rsidR="00D811DF" w:rsidRDefault="00D811DF" w:rsidP="00D811DF">
      <w:pPr>
        <w:widowControl/>
        <w:jc w:val="left"/>
        <w:rPr>
          <w:rFonts w:ascii="仿宋_GB2312" w:eastAsia="仿宋_GB2312" w:hAnsi="Tahoma" w:cs="Tahoma" w:hint="eastAsia"/>
          <w:color w:val="181818"/>
          <w:kern w:val="0"/>
          <w:sz w:val="32"/>
          <w:szCs w:val="32"/>
          <w:shd w:val="clear" w:color="auto" w:fill="FFFFFF"/>
          <w:lang w:bidi="ar"/>
        </w:rPr>
      </w:pPr>
    </w:p>
    <w:p w:rsidR="0009074D" w:rsidRPr="00D811DF" w:rsidRDefault="0015476F" w:rsidP="00D811DF">
      <w:pPr>
        <w:widowControl/>
        <w:jc w:val="left"/>
        <w:rPr>
          <w:rFonts w:ascii="仿宋_GB2312" w:eastAsia="仿宋_GB2312" w:hint="eastAsia"/>
          <w:b/>
          <w:sz w:val="32"/>
          <w:szCs w:val="32"/>
        </w:rPr>
      </w:pPr>
      <w:r w:rsidRPr="00D811DF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附件：</w:t>
      </w:r>
    </w:p>
    <w:p w:rsidR="00D811DF" w:rsidRDefault="00D811DF">
      <w:pPr>
        <w:widowControl/>
        <w:shd w:val="clear" w:color="auto" w:fill="FFFFFF"/>
        <w:jc w:val="center"/>
        <w:rPr>
          <w:rFonts w:ascii="方正小标宋简体" w:eastAsia="方正小标宋简体" w:hAnsi="方正小标宋简体" w:cs="Tahoma" w:hint="eastAsia"/>
          <w:color w:val="000000"/>
          <w:kern w:val="0"/>
          <w:sz w:val="36"/>
          <w:szCs w:val="36"/>
          <w:shd w:val="clear" w:color="auto" w:fill="FFFFFF"/>
          <w:lang w:bidi="ar"/>
        </w:rPr>
      </w:pPr>
    </w:p>
    <w:p w:rsidR="0009074D" w:rsidRPr="00D811DF" w:rsidRDefault="0015476F">
      <w:pPr>
        <w:widowControl/>
        <w:shd w:val="clear" w:color="auto" w:fill="FFFFFF"/>
        <w:jc w:val="center"/>
        <w:rPr>
          <w:rFonts w:ascii="方正小标宋简体" w:eastAsia="方正小标宋简体" w:hAnsi="方正小标宋简体" w:cs="Tahoma"/>
          <w:color w:val="000000"/>
          <w:sz w:val="36"/>
          <w:szCs w:val="36"/>
        </w:rPr>
      </w:pPr>
      <w:r w:rsidRPr="00D811DF">
        <w:rPr>
          <w:rFonts w:ascii="方正小标宋简体" w:eastAsia="方正小标宋简体" w:hAnsi="方正小标宋简体" w:cs="Tahoma"/>
          <w:color w:val="000000"/>
          <w:kern w:val="0"/>
          <w:sz w:val="36"/>
          <w:szCs w:val="36"/>
          <w:shd w:val="clear" w:color="auto" w:fill="FFFFFF"/>
          <w:lang w:bidi="ar"/>
        </w:rPr>
        <w:t>建设项目</w:t>
      </w:r>
      <w:r w:rsidRPr="00D811DF">
        <w:rPr>
          <w:rFonts w:ascii="方正小标宋简体" w:eastAsia="方正小标宋简体" w:hAnsi="方正小标宋简体" w:cs="Tahoma"/>
          <w:color w:val="000000"/>
          <w:kern w:val="0"/>
          <w:sz w:val="36"/>
          <w:szCs w:val="36"/>
          <w:shd w:val="clear" w:color="auto" w:fill="FFFFFF"/>
          <w:lang w:bidi="ar"/>
        </w:rPr>
        <w:t>3000</w:t>
      </w:r>
      <w:r w:rsidRPr="00D811DF">
        <w:rPr>
          <w:rFonts w:ascii="方正小标宋简体" w:eastAsia="方正小标宋简体" w:hAnsi="方正小标宋简体" w:cs="Tahoma"/>
          <w:color w:val="000000"/>
          <w:kern w:val="0"/>
          <w:sz w:val="36"/>
          <w:szCs w:val="36"/>
          <w:shd w:val="clear" w:color="auto" w:fill="FFFFFF"/>
          <w:lang w:bidi="ar"/>
        </w:rPr>
        <w:t>万元以下估算投资额分档收费标准</w:t>
      </w:r>
    </w:p>
    <w:p w:rsidR="0009074D" w:rsidRPr="00D811DF" w:rsidRDefault="0015476F" w:rsidP="00D811DF">
      <w:pPr>
        <w:widowControl/>
        <w:shd w:val="clear" w:color="auto" w:fill="FFFFFF"/>
        <w:jc w:val="right"/>
        <w:rPr>
          <w:rFonts w:asciiTheme="minorEastAsia" w:hAnsiTheme="minorEastAsia" w:cs="Tahoma"/>
          <w:color w:val="000000"/>
          <w:sz w:val="28"/>
          <w:szCs w:val="28"/>
        </w:rPr>
      </w:pPr>
      <w:r w:rsidRPr="00D811DF">
        <w:rPr>
          <w:rFonts w:asciiTheme="minorEastAsia" w:hAnsiTheme="minorEastAsia" w:cs="Tahom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　　　　　</w:t>
      </w:r>
      <w:r w:rsidRPr="00D811DF">
        <w:rPr>
          <w:rFonts w:asciiTheme="minorEastAsia" w:hAnsiTheme="minorEastAsia" w:cs="Tahom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D811DF">
        <w:rPr>
          <w:rFonts w:asciiTheme="minorEastAsia" w:hAnsiTheme="minorEastAsia" w:cs="Tahoma"/>
          <w:color w:val="000000"/>
          <w:kern w:val="0"/>
          <w:sz w:val="28"/>
          <w:szCs w:val="28"/>
          <w:shd w:val="clear" w:color="auto" w:fill="FFFFFF"/>
          <w:lang w:bidi="ar"/>
        </w:rPr>
        <w:t>单位：万元</w:t>
      </w:r>
    </w:p>
    <w:tbl>
      <w:tblPr>
        <w:tblW w:w="8635" w:type="dxa"/>
        <w:jc w:val="center"/>
        <w:tblInd w:w="-391" w:type="dxa"/>
        <w:tblBorders>
          <w:top w:val="single" w:sz="4" w:space="0" w:color="E3EDF5"/>
          <w:left w:val="single" w:sz="4" w:space="0" w:color="E3EDF5"/>
          <w:bottom w:val="single" w:sz="4" w:space="0" w:color="E3EDF5"/>
          <w:right w:val="single" w:sz="4" w:space="0" w:color="E3EDF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  <w:gridCol w:w="2400"/>
        <w:gridCol w:w="2749"/>
      </w:tblGrid>
      <w:tr w:rsidR="0009074D" w:rsidTr="00D811DF">
        <w:trPr>
          <w:jc w:val="center"/>
        </w:trPr>
        <w:tc>
          <w:tcPr>
            <w:tcW w:w="3486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估算投资额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咨询评估项目</w:t>
            </w:r>
          </w:p>
        </w:tc>
        <w:tc>
          <w:tcPr>
            <w:tcW w:w="2400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 w:rsidP="00D811D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1000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万元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以下</w:t>
            </w:r>
          </w:p>
        </w:tc>
        <w:tc>
          <w:tcPr>
            <w:tcW w:w="2749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1000</w:t>
            </w:r>
            <w:r w:rsidR="00D811DF"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万元至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3000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万元</w:t>
            </w:r>
          </w:p>
        </w:tc>
      </w:tr>
      <w:tr w:rsidR="0009074D" w:rsidTr="00D811DF">
        <w:trPr>
          <w:jc w:val="center"/>
        </w:trPr>
        <w:tc>
          <w:tcPr>
            <w:tcW w:w="3486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一、编制项目建议书</w:t>
            </w:r>
          </w:p>
        </w:tc>
        <w:tc>
          <w:tcPr>
            <w:tcW w:w="2400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1-2.5</w:t>
            </w:r>
          </w:p>
        </w:tc>
        <w:tc>
          <w:tcPr>
            <w:tcW w:w="2749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2.5-6</w:t>
            </w:r>
          </w:p>
        </w:tc>
      </w:tr>
      <w:tr w:rsidR="0009074D" w:rsidTr="00D811DF">
        <w:trPr>
          <w:jc w:val="center"/>
        </w:trPr>
        <w:tc>
          <w:tcPr>
            <w:tcW w:w="3486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二、编制可行性研究报告</w:t>
            </w:r>
          </w:p>
        </w:tc>
        <w:tc>
          <w:tcPr>
            <w:tcW w:w="2400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2-5</w:t>
            </w:r>
          </w:p>
        </w:tc>
        <w:tc>
          <w:tcPr>
            <w:tcW w:w="2749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5-12</w:t>
            </w:r>
          </w:p>
        </w:tc>
      </w:tr>
      <w:tr w:rsidR="0009074D" w:rsidTr="00D811DF">
        <w:trPr>
          <w:jc w:val="center"/>
        </w:trPr>
        <w:tc>
          <w:tcPr>
            <w:tcW w:w="3486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三、评估项目建议书</w:t>
            </w:r>
          </w:p>
        </w:tc>
        <w:tc>
          <w:tcPr>
            <w:tcW w:w="2400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0.6-1.5</w:t>
            </w:r>
          </w:p>
        </w:tc>
        <w:tc>
          <w:tcPr>
            <w:tcW w:w="2749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1.5-4</w:t>
            </w:r>
          </w:p>
        </w:tc>
      </w:tr>
      <w:tr w:rsidR="0009074D" w:rsidTr="00D811DF">
        <w:trPr>
          <w:jc w:val="center"/>
        </w:trPr>
        <w:tc>
          <w:tcPr>
            <w:tcW w:w="3486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四、评估可行性研究报告</w:t>
            </w:r>
          </w:p>
        </w:tc>
        <w:tc>
          <w:tcPr>
            <w:tcW w:w="2400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1-2.5</w:t>
            </w:r>
          </w:p>
        </w:tc>
        <w:tc>
          <w:tcPr>
            <w:tcW w:w="2749" w:type="dxa"/>
            <w:tcBorders>
              <w:top w:val="single" w:sz="4" w:space="0" w:color="E3EDF5"/>
              <w:left w:val="single" w:sz="4" w:space="0" w:color="E3EDF5"/>
              <w:bottom w:val="single" w:sz="4" w:space="0" w:color="E3EDF5"/>
              <w:right w:val="single" w:sz="4" w:space="0" w:color="E3EDF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9074D" w:rsidRDefault="00154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2.5-5</w:t>
            </w:r>
          </w:p>
        </w:tc>
      </w:tr>
    </w:tbl>
    <w:p w:rsidR="0009074D" w:rsidRPr="00D811DF" w:rsidRDefault="0015476F" w:rsidP="00D811DF">
      <w:pPr>
        <w:widowControl/>
        <w:shd w:val="clear" w:color="auto" w:fill="FFFFFF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　　注：</w:t>
      </w: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、建设项目估算投资额是指项目</w:t>
      </w:r>
      <w:proofErr w:type="gramStart"/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建设书</w:t>
      </w:r>
      <w:proofErr w:type="gramEnd"/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或者可行性研究报告的估算投资。</w:t>
      </w:r>
    </w:p>
    <w:p w:rsidR="0009074D" w:rsidRPr="00D811DF" w:rsidRDefault="0015476F" w:rsidP="00D811DF">
      <w:pPr>
        <w:widowControl/>
        <w:shd w:val="clear" w:color="auto" w:fill="FFFFFF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　　　　</w:t>
      </w: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、建设项目的具体收费标准，根据估算投资额在相对应区间内用插入法算。</w:t>
      </w:r>
    </w:p>
    <w:p w:rsidR="0009074D" w:rsidRPr="00D811DF" w:rsidRDefault="0015476F" w:rsidP="00D811DF">
      <w:pPr>
        <w:widowControl/>
        <w:shd w:val="clear" w:color="auto" w:fill="FFFFFF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　　　　</w:t>
      </w: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、根据行业特点和各行业内部不同类别工程的复杂程度，计算咨询费用时可分别乘以行业调整系数和工程复杂程度系数（见计价格（</w:t>
      </w: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1999</w:t>
      </w: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1283</w:t>
      </w:r>
      <w:r w:rsidRPr="00D811DF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  <w:lang w:bidi="ar"/>
        </w:rPr>
        <w:t>号）文附表二。</w:t>
      </w:r>
    </w:p>
    <w:p w:rsidR="0009074D" w:rsidRPr="00D811DF" w:rsidRDefault="0009074D" w:rsidP="00D811DF">
      <w:pPr>
        <w:rPr>
          <w:rFonts w:ascii="仿宋_GB2312" w:eastAsia="仿宋_GB2312" w:hint="eastAsia"/>
          <w:sz w:val="32"/>
          <w:szCs w:val="32"/>
        </w:rPr>
      </w:pPr>
    </w:p>
    <w:sectPr w:rsidR="0009074D" w:rsidRPr="00D811DF" w:rsidSect="00D811DF">
      <w:pgSz w:w="11906" w:h="16838" w:code="9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6F" w:rsidRDefault="0015476F" w:rsidP="00D811DF">
      <w:r>
        <w:separator/>
      </w:r>
    </w:p>
  </w:endnote>
  <w:endnote w:type="continuationSeparator" w:id="0">
    <w:p w:rsidR="0015476F" w:rsidRDefault="0015476F" w:rsidP="00D8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6F" w:rsidRDefault="0015476F" w:rsidP="00D811DF">
      <w:r>
        <w:separator/>
      </w:r>
    </w:p>
  </w:footnote>
  <w:footnote w:type="continuationSeparator" w:id="0">
    <w:p w:rsidR="0015476F" w:rsidRDefault="0015476F" w:rsidP="00D8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767A"/>
    <w:rsid w:val="0009074D"/>
    <w:rsid w:val="0015476F"/>
    <w:rsid w:val="002F746A"/>
    <w:rsid w:val="00D811DF"/>
    <w:rsid w:val="678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11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81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11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D811DF"/>
    <w:pPr>
      <w:ind w:leftChars="2500" w:left="100"/>
    </w:pPr>
  </w:style>
  <w:style w:type="character" w:customStyle="1" w:styleId="Char1">
    <w:name w:val="日期 Char"/>
    <w:basedOn w:val="a0"/>
    <w:link w:val="a5"/>
    <w:rsid w:val="00D811D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11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81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11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D811DF"/>
    <w:pPr>
      <w:ind w:leftChars="2500" w:left="100"/>
    </w:pPr>
  </w:style>
  <w:style w:type="character" w:customStyle="1" w:styleId="Char1">
    <w:name w:val="日期 Char"/>
    <w:basedOn w:val="a0"/>
    <w:link w:val="a5"/>
    <w:rsid w:val="00D811D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>Micorosoft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小鱼</dc:creator>
  <cp:lastModifiedBy>Micorosoft</cp:lastModifiedBy>
  <cp:revision>2</cp:revision>
  <dcterms:created xsi:type="dcterms:W3CDTF">2022-09-19T03:26:00Z</dcterms:created>
  <dcterms:modified xsi:type="dcterms:W3CDTF">2022-09-19T03:26:00Z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