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330" w:type="dxa"/>
        <w:jc w:val="center"/>
        <w:tblCellSpacing w:w="0" w:type="dxa"/>
        <w:shd w:val="clear" w:color="auto" w:fill="F9F9F9"/>
        <w:tblCellMar>
          <w:left w:w="0" w:type="dxa"/>
          <w:right w:w="0" w:type="dxa"/>
        </w:tblCellMar>
        <w:tblLook w:val="04A0"/>
      </w:tblPr>
      <w:tblGrid>
        <w:gridCol w:w="11730"/>
        <w:gridCol w:w="600"/>
      </w:tblGrid>
      <w:tr w:rsidR="00173AD4" w:rsidRPr="00173AD4" w:rsidTr="00173AD4">
        <w:trPr>
          <w:tblCellSpacing w:w="0" w:type="dxa"/>
          <w:jc w:val="center"/>
        </w:trPr>
        <w:tc>
          <w:tcPr>
            <w:tcW w:w="0" w:type="auto"/>
            <w:shd w:val="clear" w:color="auto" w:fill="F9F9F9"/>
            <w:vAlign w:val="center"/>
            <w:hideMark/>
          </w:tcPr>
          <w:p w:rsidR="00173AD4" w:rsidRPr="00173AD4" w:rsidRDefault="00173AD4" w:rsidP="00173AD4">
            <w:pPr>
              <w:widowControl/>
              <w:jc w:val="center"/>
              <w:rPr>
                <w:rFonts w:ascii="微软雅黑" w:eastAsia="微软雅黑" w:hAnsi="微软雅黑" w:cs="宋体"/>
                <w:color w:val="999999"/>
                <w:kern w:val="0"/>
                <w:sz w:val="27"/>
                <w:szCs w:val="27"/>
              </w:rPr>
            </w:pPr>
          </w:p>
        </w:tc>
        <w:tc>
          <w:tcPr>
            <w:tcW w:w="600" w:type="dxa"/>
            <w:shd w:val="clear" w:color="auto" w:fill="F9F9F9"/>
            <w:vAlign w:val="center"/>
            <w:hideMark/>
          </w:tcPr>
          <w:p w:rsidR="00173AD4" w:rsidRPr="00173AD4" w:rsidRDefault="00173AD4" w:rsidP="00173AD4">
            <w:pPr>
              <w:widowControl/>
              <w:jc w:val="left"/>
              <w:rPr>
                <w:rFonts w:ascii="Simsun" w:hAnsi="Simsun" w:cs="宋体"/>
                <w:color w:val="000000"/>
                <w:kern w:val="0"/>
                <w:sz w:val="27"/>
                <w:szCs w:val="27"/>
              </w:rPr>
            </w:pPr>
          </w:p>
        </w:tc>
      </w:tr>
    </w:tbl>
    <w:p w:rsidR="00173AD4" w:rsidRPr="00173AD4" w:rsidRDefault="00173AD4" w:rsidP="00173AD4">
      <w:pPr>
        <w:widowControl/>
        <w:jc w:val="left"/>
        <w:rPr>
          <w:rFonts w:ascii="宋体" w:hAnsi="宋体" w:cs="宋体"/>
          <w:vanish/>
          <w:kern w:val="0"/>
          <w:sz w:val="24"/>
          <w:szCs w:val="24"/>
        </w:rPr>
      </w:pPr>
    </w:p>
    <w:tbl>
      <w:tblPr>
        <w:tblW w:w="12330" w:type="dxa"/>
        <w:jc w:val="center"/>
        <w:tblCellSpacing w:w="0" w:type="dxa"/>
        <w:shd w:val="clear" w:color="auto" w:fill="FFFFFF"/>
        <w:tblCellMar>
          <w:left w:w="0" w:type="dxa"/>
          <w:right w:w="0" w:type="dxa"/>
        </w:tblCellMar>
        <w:tblLook w:val="04A0"/>
      </w:tblPr>
      <w:tblGrid>
        <w:gridCol w:w="12330"/>
      </w:tblGrid>
      <w:tr w:rsidR="00173AD4" w:rsidRPr="00173AD4" w:rsidTr="00173AD4">
        <w:trPr>
          <w:tblCellSpacing w:w="0" w:type="dxa"/>
          <w:jc w:val="center"/>
        </w:trPr>
        <w:tc>
          <w:tcPr>
            <w:tcW w:w="0" w:type="auto"/>
            <w:shd w:val="clear" w:color="auto" w:fill="FFFFFF"/>
            <w:vAlign w:val="center"/>
            <w:hideMark/>
          </w:tcPr>
          <w:p w:rsidR="00173AD4" w:rsidRPr="00173AD4" w:rsidRDefault="00173AD4" w:rsidP="00173AD4">
            <w:pPr>
              <w:widowControl/>
              <w:jc w:val="left"/>
              <w:rPr>
                <w:rFonts w:ascii="Simsun" w:hAnsi="Simsun" w:cs="宋体"/>
                <w:color w:val="000000"/>
                <w:kern w:val="0"/>
                <w:sz w:val="27"/>
                <w:szCs w:val="27"/>
              </w:rPr>
            </w:pPr>
          </w:p>
        </w:tc>
      </w:tr>
    </w:tbl>
    <w:p w:rsidR="00173AD4" w:rsidRPr="00173AD4" w:rsidRDefault="00173AD4" w:rsidP="00173AD4">
      <w:pPr>
        <w:widowControl/>
        <w:jc w:val="left"/>
        <w:rPr>
          <w:rFonts w:ascii="宋体" w:hAnsi="宋体" w:cs="宋体"/>
          <w:vanish/>
          <w:kern w:val="0"/>
          <w:sz w:val="24"/>
          <w:szCs w:val="24"/>
        </w:rPr>
      </w:pPr>
    </w:p>
    <w:p w:rsidR="00173AD4" w:rsidRPr="00173AD4" w:rsidRDefault="00173AD4" w:rsidP="00173AD4">
      <w:pPr>
        <w:widowControl/>
        <w:jc w:val="left"/>
        <w:rPr>
          <w:rFonts w:ascii="宋体" w:hAnsi="宋体" w:cs="宋体"/>
          <w:vanish/>
          <w:kern w:val="0"/>
          <w:sz w:val="24"/>
          <w:szCs w:val="24"/>
        </w:rPr>
      </w:pPr>
    </w:p>
    <w:p w:rsidR="008C7FC5" w:rsidRDefault="00173AD4" w:rsidP="00173AD4">
      <w:pPr>
        <w:jc w:val="center"/>
        <w:rPr>
          <w:rFonts w:ascii="微软雅黑" w:eastAsia="微软雅黑" w:hAnsi="微软雅黑" w:cs="宋体" w:hint="eastAsia"/>
          <w:color w:val="999999"/>
          <w:kern w:val="0"/>
          <w:sz w:val="27"/>
          <w:szCs w:val="27"/>
        </w:rPr>
      </w:pPr>
      <w:r w:rsidRPr="00173AD4">
        <w:rPr>
          <w:rFonts w:ascii="微软雅黑" w:eastAsia="微软雅黑" w:hAnsi="微软雅黑" w:cs="宋体" w:hint="eastAsia"/>
          <w:color w:val="999999"/>
          <w:kern w:val="0"/>
          <w:sz w:val="27"/>
          <w:szCs w:val="27"/>
        </w:rPr>
        <w:t>内蒙古自治区发展和改革委员会、财政厅、人民防空办公室关于规范全区防空地下室易地建设费收费标准的通知</w:t>
      </w:r>
    </w:p>
    <w:p w:rsidR="00173AD4" w:rsidRDefault="00173AD4" w:rsidP="00173AD4">
      <w:pPr>
        <w:jc w:val="center"/>
        <w:rPr>
          <w:rFonts w:ascii="宋体" w:hAnsi="宋体" w:cs="宋体" w:hint="eastAsia"/>
          <w:color w:val="181818"/>
          <w:kern w:val="0"/>
          <w:szCs w:val="21"/>
        </w:rPr>
      </w:pPr>
      <w:proofErr w:type="gramStart"/>
      <w:r w:rsidRPr="00173AD4">
        <w:rPr>
          <w:rFonts w:ascii="宋体" w:hAnsi="宋体" w:cs="宋体" w:hint="eastAsia"/>
          <w:color w:val="181818"/>
          <w:kern w:val="0"/>
          <w:szCs w:val="21"/>
        </w:rPr>
        <w:t>内发改费</w:t>
      </w:r>
      <w:proofErr w:type="gramEnd"/>
      <w:r w:rsidRPr="00173AD4">
        <w:rPr>
          <w:rFonts w:ascii="宋体" w:hAnsi="宋体" w:cs="宋体" w:hint="eastAsia"/>
          <w:color w:val="181818"/>
          <w:kern w:val="0"/>
          <w:szCs w:val="21"/>
        </w:rPr>
        <w:t>字[2013]870号</w:t>
      </w:r>
    </w:p>
    <w:p w:rsidR="00173AD4" w:rsidRDefault="00173AD4" w:rsidP="00173AD4">
      <w:pPr>
        <w:widowControl/>
        <w:spacing w:before="100" w:beforeAutospacing="1" w:after="100" w:afterAutospacing="1" w:line="375" w:lineRule="atLeast"/>
        <w:jc w:val="left"/>
        <w:rPr>
          <w:rFonts w:ascii="宋体" w:hAnsi="宋体" w:cs="宋体" w:hint="eastAsia"/>
          <w:color w:val="181818"/>
          <w:kern w:val="0"/>
        </w:rPr>
      </w:pPr>
      <w:r>
        <w:rPr>
          <w:rFonts w:hint="eastAsia"/>
          <w:color w:val="181818"/>
          <w:szCs w:val="21"/>
          <w:shd w:val="clear" w:color="auto" w:fill="FFFFFF"/>
        </w:rPr>
        <w:t>各</w:t>
      </w:r>
      <w:r w:rsidRPr="00173AD4">
        <w:rPr>
          <w:rFonts w:ascii="宋体" w:hAnsi="宋体" w:cs="宋体" w:hint="eastAsia"/>
          <w:color w:val="181818"/>
          <w:kern w:val="0"/>
          <w:szCs w:val="21"/>
        </w:rPr>
        <w:t>盟市发展改革委、财政局、人民防空办公室，满洲里、二连浩特市发展改革委、财政局、人民防空办公室：</w:t>
      </w:r>
    </w:p>
    <w:p w:rsidR="00173AD4" w:rsidRDefault="00173AD4" w:rsidP="00173AD4">
      <w:pPr>
        <w:widowControl/>
        <w:spacing w:before="100" w:beforeAutospacing="1" w:after="100" w:afterAutospacing="1" w:line="375" w:lineRule="atLeast"/>
        <w:ind w:firstLineChars="200" w:firstLine="420"/>
        <w:jc w:val="left"/>
        <w:rPr>
          <w:rFonts w:ascii="宋体" w:hAnsi="宋体" w:cs="宋体" w:hint="eastAsia"/>
          <w:color w:val="181818"/>
          <w:kern w:val="0"/>
        </w:rPr>
      </w:pPr>
      <w:r w:rsidRPr="00173AD4">
        <w:rPr>
          <w:rFonts w:ascii="宋体" w:hAnsi="宋体" w:cs="宋体" w:hint="eastAsia"/>
          <w:color w:val="181818"/>
          <w:kern w:val="0"/>
          <w:szCs w:val="21"/>
        </w:rPr>
        <w:t>根据人民防空法律法规和《国家国防动员委员会、国家发展计划委员会、建设部、财政部关于人民防空工程建设管理规定的通知》(［2003］国人防办字第18号)、《国家计委、财政部、国家国防动员委员会、建设部印发关于规范防空地下室易地建设收费的规定的通知》（计价格［2000］474号）以及《内蒙古自治区人民防空工程建设管理规定》（内蒙古自治区人民政府令第190号）的有关规定，结合自治区经济社会发展实际，现就进一步规范防空地下室易地建设费收费标准的有关事项通知如下：</w:t>
      </w:r>
    </w:p>
    <w:p w:rsidR="00173AD4" w:rsidRDefault="00173AD4" w:rsidP="00173AD4">
      <w:pPr>
        <w:widowControl/>
        <w:spacing w:before="100" w:beforeAutospacing="1" w:after="100" w:afterAutospacing="1" w:line="375" w:lineRule="atLeast"/>
        <w:ind w:firstLineChars="200" w:firstLine="420"/>
        <w:jc w:val="left"/>
        <w:rPr>
          <w:rFonts w:ascii="宋体" w:hAnsi="宋体" w:cs="宋体" w:hint="eastAsia"/>
          <w:color w:val="181818"/>
          <w:kern w:val="0"/>
        </w:rPr>
      </w:pPr>
      <w:r w:rsidRPr="00173AD4">
        <w:rPr>
          <w:rFonts w:ascii="宋体" w:hAnsi="宋体" w:cs="宋体" w:hint="eastAsia"/>
          <w:color w:val="181818"/>
          <w:kern w:val="0"/>
          <w:szCs w:val="21"/>
        </w:rPr>
        <w:t>一、按照《内蒙古自治区人民防空工程建设管理规定》（内蒙古自治区人民政府第190号令）的有关规定，符合易地建设防空地下室条件的民用建筑项目，经人民防空主管部门审核批准，可以按以下标准缴纳防空地下室易地建设费。</w:t>
      </w:r>
    </w:p>
    <w:p w:rsidR="00173AD4" w:rsidRDefault="00173AD4" w:rsidP="00173AD4">
      <w:pPr>
        <w:widowControl/>
        <w:spacing w:before="100" w:beforeAutospacing="1" w:after="100" w:afterAutospacing="1" w:line="375" w:lineRule="atLeast"/>
        <w:ind w:firstLineChars="200" w:firstLine="420"/>
        <w:jc w:val="left"/>
        <w:rPr>
          <w:rFonts w:ascii="宋体" w:hAnsi="宋体" w:cs="宋体" w:hint="eastAsia"/>
          <w:color w:val="181818"/>
          <w:kern w:val="0"/>
        </w:rPr>
      </w:pPr>
      <w:r w:rsidRPr="00173AD4">
        <w:rPr>
          <w:rFonts w:ascii="宋体" w:hAnsi="宋体" w:cs="宋体" w:hint="eastAsia"/>
          <w:color w:val="181818"/>
          <w:kern w:val="0"/>
          <w:szCs w:val="21"/>
        </w:rPr>
        <w:t>（一）新建10层以上或者基础埋深3米以上的民用建筑（包括居民住宅楼），按照应建防空地下室地面首层建筑面积缴纳防空地下室易地建设费。具体标准为：呼和浩特市、包头市每平方米2000元；赤峰市、通辽市、鄂尔多斯市每平方米1700元；呼伦贝尔市、兴安盟、锡林郭勒盟、乌兰察布市、巴彦淖尔市、乌海市、阿拉善盟、二连浩特市、满洲里市每平方米1500元；全区旗县（县级市区）每平方米1400元。</w:t>
      </w:r>
    </w:p>
    <w:p w:rsidR="00173AD4" w:rsidRDefault="00173AD4" w:rsidP="00173AD4">
      <w:pPr>
        <w:widowControl/>
        <w:spacing w:before="100" w:beforeAutospacing="1" w:after="100" w:afterAutospacing="1" w:line="375" w:lineRule="atLeast"/>
        <w:ind w:firstLineChars="200" w:firstLine="420"/>
        <w:jc w:val="left"/>
        <w:rPr>
          <w:rFonts w:ascii="宋体" w:hAnsi="宋体" w:cs="宋体" w:hint="eastAsia"/>
          <w:color w:val="181818"/>
          <w:kern w:val="0"/>
        </w:rPr>
      </w:pPr>
      <w:r w:rsidRPr="00173AD4">
        <w:rPr>
          <w:rFonts w:ascii="宋体" w:hAnsi="宋体" w:cs="宋体" w:hint="eastAsia"/>
          <w:color w:val="181818"/>
          <w:kern w:val="0"/>
          <w:szCs w:val="21"/>
        </w:rPr>
        <w:t>（二）新建9层以下或者基础埋深不足3米的其它民用建筑（含城市居民住宅楼），按照地面总建筑面积缴纳防空地下室易地建设费。具体标准为：呼和浩特市、包头市每平方米100元；赤峰市、通辽市、鄂尔多斯市每平方米65元；呼伦贝尔市、兴安盟、锡林郭勒盟、乌兰察布市、巴彦淖尔市、乌海市、阿拉善盟、二连浩特市、满洲里市按每平方米45元；全区旗县（县级市区）每平方米30元。</w:t>
      </w:r>
    </w:p>
    <w:p w:rsidR="00173AD4" w:rsidRDefault="00173AD4" w:rsidP="00173AD4">
      <w:pPr>
        <w:widowControl/>
        <w:spacing w:before="100" w:beforeAutospacing="1" w:after="100" w:afterAutospacing="1" w:line="375" w:lineRule="atLeast"/>
        <w:ind w:firstLineChars="200" w:firstLine="420"/>
        <w:jc w:val="left"/>
        <w:rPr>
          <w:rFonts w:ascii="宋体" w:hAnsi="宋体" w:cs="宋体" w:hint="eastAsia"/>
          <w:color w:val="181818"/>
          <w:kern w:val="0"/>
        </w:rPr>
      </w:pPr>
      <w:r w:rsidRPr="00173AD4">
        <w:rPr>
          <w:rFonts w:ascii="宋体" w:hAnsi="宋体" w:cs="宋体" w:hint="eastAsia"/>
          <w:color w:val="181818"/>
          <w:kern w:val="0"/>
          <w:szCs w:val="21"/>
        </w:rPr>
        <w:t>二、除国家和自治区规定的减免项目外，任何单位和个人不得批准免建或者减少修建防空地下室面积，不得降低防空地下室防护标准和减免防空地下室易地建设费。</w:t>
      </w:r>
    </w:p>
    <w:p w:rsidR="00173AD4" w:rsidRDefault="00173AD4" w:rsidP="00173AD4">
      <w:pPr>
        <w:widowControl/>
        <w:spacing w:before="100" w:beforeAutospacing="1" w:after="100" w:afterAutospacing="1" w:line="375" w:lineRule="atLeast"/>
        <w:ind w:firstLineChars="200" w:firstLine="420"/>
        <w:jc w:val="left"/>
        <w:rPr>
          <w:rFonts w:ascii="宋体" w:hAnsi="宋体" w:cs="宋体" w:hint="eastAsia"/>
          <w:color w:val="181818"/>
          <w:kern w:val="0"/>
        </w:rPr>
      </w:pPr>
      <w:r w:rsidRPr="00173AD4">
        <w:rPr>
          <w:rFonts w:ascii="宋体" w:hAnsi="宋体" w:cs="宋体" w:hint="eastAsia"/>
          <w:color w:val="181818"/>
          <w:kern w:val="0"/>
          <w:szCs w:val="21"/>
        </w:rPr>
        <w:t>三、防空地下室易地建设费是人民防空经费重要组成部分，人民防空主管部门应依照相关法律、法规收缴和管理。任何部门或单位不得挤占、截留和挪用。各级人民防空主管部门收取的易地建设费，按照自治区人民防空办公室、财政厅、呼和浩特中心支行《关于进一步规范防空地下室易地建设费上缴使用管理的通知》（内人防发[2012]31号）文件要求，全额纳入同级财政预算管理。</w:t>
      </w:r>
    </w:p>
    <w:p w:rsidR="00173AD4" w:rsidRDefault="00173AD4" w:rsidP="00173AD4">
      <w:pPr>
        <w:widowControl/>
        <w:spacing w:before="100" w:beforeAutospacing="1" w:after="100" w:afterAutospacing="1" w:line="375" w:lineRule="atLeast"/>
        <w:ind w:firstLineChars="200" w:firstLine="420"/>
        <w:jc w:val="left"/>
        <w:rPr>
          <w:rFonts w:ascii="宋体" w:hAnsi="宋体" w:cs="宋体" w:hint="eastAsia"/>
          <w:color w:val="181818"/>
          <w:kern w:val="0"/>
        </w:rPr>
      </w:pPr>
      <w:r w:rsidRPr="00173AD4">
        <w:rPr>
          <w:rFonts w:ascii="宋体" w:hAnsi="宋体" w:cs="宋体" w:hint="eastAsia"/>
          <w:color w:val="181818"/>
          <w:kern w:val="0"/>
          <w:szCs w:val="21"/>
        </w:rPr>
        <w:lastRenderedPageBreak/>
        <w:t>四、各级人民政府及发改、财政、人民防空主管部门要对防空地下室易地建设费的收缴使用管理情况进行监督检查，对擅自扩大收费范围，改变收费标准，改变资金用途等违反有关规定的，要依法查处。</w:t>
      </w:r>
    </w:p>
    <w:p w:rsidR="00173AD4" w:rsidRPr="00173AD4" w:rsidRDefault="00173AD4" w:rsidP="00173AD4">
      <w:pPr>
        <w:widowControl/>
        <w:spacing w:before="100" w:beforeAutospacing="1" w:after="100" w:afterAutospacing="1" w:line="375" w:lineRule="atLeast"/>
        <w:ind w:firstLineChars="200" w:firstLine="420"/>
        <w:jc w:val="left"/>
        <w:rPr>
          <w:rFonts w:ascii="宋体" w:hAnsi="宋体" w:cs="宋体" w:hint="eastAsia"/>
          <w:color w:val="181818"/>
          <w:kern w:val="0"/>
        </w:rPr>
      </w:pPr>
      <w:r w:rsidRPr="00173AD4">
        <w:rPr>
          <w:rFonts w:ascii="宋体" w:hAnsi="宋体" w:cs="宋体" w:hint="eastAsia"/>
          <w:color w:val="181818"/>
          <w:kern w:val="0"/>
          <w:szCs w:val="21"/>
        </w:rPr>
        <w:t>五、本通知自2013年4月15日起执行。涉及收费标准问题，凡与本通知不符的，以本通知为准。</w:t>
      </w:r>
    </w:p>
    <w:p w:rsidR="00173AD4" w:rsidRPr="00173AD4" w:rsidRDefault="00173AD4" w:rsidP="00173AD4">
      <w:pPr>
        <w:jc w:val="center"/>
      </w:pPr>
      <w:r w:rsidRPr="00173AD4">
        <w:rPr>
          <w:rFonts w:ascii="宋体" w:hAnsi="宋体" w:cs="宋体" w:hint="eastAsia"/>
          <w:color w:val="181818"/>
          <w:kern w:val="0"/>
          <w:szCs w:val="21"/>
        </w:rPr>
        <w:br/>
      </w:r>
      <w:r w:rsidRPr="00173AD4">
        <w:rPr>
          <w:rFonts w:ascii="宋体" w:hAnsi="宋体" w:cs="宋体" w:hint="eastAsia"/>
          <w:color w:val="181818"/>
          <w:kern w:val="0"/>
          <w:szCs w:val="21"/>
        </w:rPr>
        <w:br/>
      </w:r>
      <w:r w:rsidRPr="00173AD4">
        <w:rPr>
          <w:rFonts w:ascii="宋体" w:hAnsi="宋体" w:cs="宋体" w:hint="eastAsia"/>
          <w:color w:val="181818"/>
          <w:kern w:val="0"/>
          <w:szCs w:val="21"/>
        </w:rPr>
        <w:br/>
      </w:r>
      <w:r w:rsidRPr="00173AD4">
        <w:rPr>
          <w:rFonts w:ascii="宋体" w:hAnsi="宋体" w:cs="宋体" w:hint="eastAsia"/>
          <w:color w:val="181818"/>
          <w:kern w:val="0"/>
          <w:szCs w:val="21"/>
        </w:rPr>
        <w:br/>
        <w:t>内蒙古自治区发展和改革委员会 内蒙古自治区财政厅</w:t>
      </w:r>
      <w:r w:rsidRPr="00173AD4">
        <w:rPr>
          <w:rFonts w:ascii="宋体" w:hAnsi="宋体" w:cs="宋体" w:hint="eastAsia"/>
          <w:color w:val="181818"/>
          <w:kern w:val="0"/>
        </w:rPr>
        <w:t> </w:t>
      </w:r>
      <w:r w:rsidRPr="00173AD4">
        <w:rPr>
          <w:rFonts w:ascii="宋体" w:hAnsi="宋体" w:cs="宋体" w:hint="eastAsia"/>
          <w:color w:val="181818"/>
          <w:kern w:val="0"/>
          <w:szCs w:val="21"/>
        </w:rPr>
        <w:br/>
        <w:t>2013年4月15日</w:t>
      </w:r>
      <w:r w:rsidRPr="00173AD4">
        <w:rPr>
          <w:rFonts w:ascii="宋体" w:hAnsi="宋体" w:cs="宋体" w:hint="eastAsia"/>
          <w:color w:val="181818"/>
          <w:kern w:val="0"/>
        </w:rPr>
        <w:t> </w:t>
      </w:r>
    </w:p>
    <w:sectPr w:rsidR="00173AD4" w:rsidRPr="00173AD4" w:rsidSect="00173AD4">
      <w:pgSz w:w="11906" w:h="16838"/>
      <w:pgMar w:top="1418" w:right="1418" w:bottom="141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3AD4"/>
    <w:rsid w:val="00173AD4"/>
    <w:rsid w:val="005A1C55"/>
    <w:rsid w:val="008C7FC5"/>
    <w:rsid w:val="00A70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845"/>
    <w:pPr>
      <w:widowControl w:val="0"/>
      <w:jc w:val="both"/>
    </w:pPr>
    <w:rPr>
      <w:kern w:val="2"/>
      <w:sz w:val="21"/>
    </w:rPr>
  </w:style>
  <w:style w:type="paragraph" w:styleId="1">
    <w:name w:val="heading 1"/>
    <w:basedOn w:val="a"/>
    <w:next w:val="a"/>
    <w:link w:val="1Char"/>
    <w:uiPriority w:val="9"/>
    <w:qFormat/>
    <w:rsid w:val="00A70845"/>
    <w:pPr>
      <w:keepNext/>
      <w:keepLines/>
      <w:adjustRightInd w:val="0"/>
      <w:snapToGrid w:val="0"/>
      <w:ind w:firstLineChars="200" w:firstLine="200"/>
      <w:jc w:val="left"/>
      <w:outlineLvl w:val="0"/>
    </w:pPr>
    <w:rPr>
      <w:rFonts w:eastAsia="华文仿宋"/>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70845"/>
    <w:rPr>
      <w:rFonts w:eastAsia="华文仿宋"/>
      <w:b/>
      <w:bCs/>
      <w:kern w:val="44"/>
      <w:sz w:val="32"/>
      <w:szCs w:val="44"/>
    </w:rPr>
  </w:style>
  <w:style w:type="paragraph" w:styleId="TOC">
    <w:name w:val="TOC Heading"/>
    <w:basedOn w:val="1"/>
    <w:next w:val="a"/>
    <w:uiPriority w:val="39"/>
    <w:qFormat/>
    <w:rsid w:val="00A70845"/>
    <w:pPr>
      <w:widowControl/>
      <w:adjustRightInd/>
      <w:snapToGrid/>
      <w:spacing w:before="480" w:line="276" w:lineRule="auto"/>
      <w:ind w:firstLineChars="0" w:firstLine="0"/>
      <w:outlineLvl w:val="9"/>
    </w:pPr>
    <w:rPr>
      <w:rFonts w:ascii="Cambria" w:eastAsia="宋体" w:hAnsi="Cambria"/>
      <w:color w:val="365F91"/>
      <w:kern w:val="0"/>
      <w:sz w:val="28"/>
      <w:szCs w:val="28"/>
    </w:rPr>
  </w:style>
  <w:style w:type="paragraph" w:styleId="a3">
    <w:name w:val="Normal (Web)"/>
    <w:basedOn w:val="a"/>
    <w:uiPriority w:val="99"/>
    <w:unhideWhenUsed/>
    <w:rsid w:val="00173AD4"/>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173AD4"/>
  </w:style>
</w:styles>
</file>

<file path=word/webSettings.xml><?xml version="1.0" encoding="utf-8"?>
<w:webSettings xmlns:r="http://schemas.openxmlformats.org/officeDocument/2006/relationships" xmlns:w="http://schemas.openxmlformats.org/wordprocessingml/2006/main">
  <w:divs>
    <w:div w:id="127147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186</Words>
  <Characters>1065</Characters>
  <Application>Microsoft Office Word</Application>
  <DocSecurity>0</DocSecurity>
  <Lines>8</Lines>
  <Paragraphs>2</Paragraphs>
  <ScaleCrop>false</ScaleCrop>
  <Company>内蒙古蒙立欣工程造价咨询有限责任公司</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苏爱平</dc:creator>
  <cp:lastModifiedBy>苏爱平</cp:lastModifiedBy>
  <cp:revision>1</cp:revision>
  <dcterms:created xsi:type="dcterms:W3CDTF">2016-06-13T23:48:00Z</dcterms:created>
  <dcterms:modified xsi:type="dcterms:W3CDTF">2016-06-13T23:53:00Z</dcterms:modified>
</cp:coreProperties>
</file>