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6C7" w:rsidRPr="00D652DD" w:rsidRDefault="008026C7" w:rsidP="008026C7">
      <w:pPr>
        <w:widowControl/>
        <w:shd w:val="clear" w:color="auto" w:fill="FFFFFF"/>
        <w:spacing w:line="675" w:lineRule="atLeast"/>
        <w:jc w:val="center"/>
        <w:outlineLvl w:val="1"/>
        <w:rPr>
          <w:rFonts w:asciiTheme="majorEastAsia" w:eastAsiaTheme="majorEastAsia" w:hAnsiTheme="majorEastAsia" w:cs="宋体"/>
          <w:b/>
          <w:bCs/>
          <w:color w:val="333333"/>
          <w:kern w:val="0"/>
          <w:sz w:val="44"/>
          <w:szCs w:val="44"/>
        </w:rPr>
      </w:pPr>
      <w:r w:rsidRPr="00D652DD">
        <w:rPr>
          <w:rFonts w:asciiTheme="majorEastAsia" w:eastAsiaTheme="majorEastAsia" w:hAnsiTheme="majorEastAsia" w:cs="宋体" w:hint="eastAsia"/>
          <w:b/>
          <w:bCs/>
          <w:color w:val="333333"/>
          <w:kern w:val="0"/>
          <w:sz w:val="44"/>
          <w:szCs w:val="44"/>
        </w:rPr>
        <w:t>关于印发《中央财政衔接推进乡村振兴补助资金管理办法》的通知</w:t>
      </w:r>
    </w:p>
    <w:p w:rsidR="008026C7" w:rsidRPr="00D652DD" w:rsidRDefault="008026C7" w:rsidP="008026C7">
      <w:pPr>
        <w:widowControl/>
        <w:shd w:val="clear" w:color="auto" w:fill="FFFFFF"/>
        <w:spacing w:after="240"/>
        <w:jc w:val="center"/>
        <w:rPr>
          <w:rFonts w:ascii="仿宋_GB2312" w:eastAsia="仿宋_GB2312" w:hAnsi="宋体" w:cs="宋体"/>
          <w:color w:val="333333"/>
          <w:kern w:val="0"/>
          <w:sz w:val="28"/>
          <w:szCs w:val="28"/>
        </w:rPr>
      </w:pPr>
      <w:proofErr w:type="gramStart"/>
      <w:r w:rsidRPr="00D652DD">
        <w:rPr>
          <w:rFonts w:ascii="仿宋_GB2312" w:eastAsia="仿宋_GB2312" w:hAnsi="宋体" w:cs="宋体" w:hint="eastAsia"/>
          <w:color w:val="333333"/>
          <w:kern w:val="0"/>
          <w:sz w:val="28"/>
          <w:szCs w:val="28"/>
        </w:rPr>
        <w:t>财农〔2021〕</w:t>
      </w:r>
      <w:proofErr w:type="gramEnd"/>
      <w:r w:rsidRPr="00D652DD">
        <w:rPr>
          <w:rFonts w:ascii="仿宋_GB2312" w:eastAsia="仿宋_GB2312" w:hAnsi="宋体" w:cs="宋体" w:hint="eastAsia"/>
          <w:color w:val="333333"/>
          <w:kern w:val="0"/>
          <w:sz w:val="28"/>
          <w:szCs w:val="28"/>
        </w:rPr>
        <w:t>19号</w:t>
      </w:r>
    </w:p>
    <w:p w:rsidR="008026C7" w:rsidRPr="00D652DD" w:rsidRDefault="008026C7" w:rsidP="008026C7">
      <w:pPr>
        <w:widowControl/>
        <w:shd w:val="clear" w:color="auto" w:fill="FFFFFF"/>
        <w:spacing w:after="240"/>
        <w:jc w:val="left"/>
        <w:rPr>
          <w:rFonts w:ascii="仿宋_GB2312" w:eastAsia="仿宋_GB2312" w:hAnsi="宋体" w:cs="宋体"/>
          <w:color w:val="333333"/>
          <w:kern w:val="0"/>
          <w:sz w:val="32"/>
          <w:szCs w:val="32"/>
        </w:rPr>
      </w:pPr>
      <w:r w:rsidRPr="00D652DD">
        <w:rPr>
          <w:rFonts w:ascii="仿宋_GB2312" w:eastAsia="仿宋_GB2312" w:hAnsi="宋体" w:cs="宋体" w:hint="eastAsia"/>
          <w:color w:val="333333"/>
          <w:kern w:val="0"/>
          <w:sz w:val="32"/>
          <w:szCs w:val="32"/>
        </w:rPr>
        <w:t>有关省、自治区、直辖市财政厅（局）、乡村振兴局、发展改革委、民（宗）委（厅、局）、农业农村（农垦管理部门）、林业和草原厅（局），新疆生产建设兵团财政局、乡村振兴局、发展改革委、民宗局：</w:t>
      </w:r>
    </w:p>
    <w:p w:rsidR="008026C7" w:rsidRPr="00D652DD" w:rsidRDefault="008026C7" w:rsidP="008026C7">
      <w:pPr>
        <w:widowControl/>
        <w:shd w:val="clear" w:color="auto" w:fill="FFFFFF"/>
        <w:spacing w:after="240"/>
        <w:jc w:val="left"/>
        <w:rPr>
          <w:rFonts w:ascii="仿宋_GB2312" w:eastAsia="仿宋_GB2312" w:hAnsi="宋体" w:cs="宋体"/>
          <w:color w:val="333333"/>
          <w:kern w:val="0"/>
          <w:sz w:val="32"/>
          <w:szCs w:val="32"/>
        </w:rPr>
      </w:pPr>
      <w:r w:rsidRPr="00D652DD">
        <w:rPr>
          <w:rFonts w:ascii="仿宋_GB2312" w:eastAsia="仿宋_GB2312" w:hAnsi="宋体" w:cs="宋体" w:hint="eastAsia"/>
          <w:color w:val="333333"/>
          <w:kern w:val="0"/>
          <w:sz w:val="32"/>
          <w:szCs w:val="32"/>
        </w:rPr>
        <w:t xml:space="preserve">　　贯彻落实《中共中央 国务院关于实现巩固拓展脱贫攻坚成果同乡村振兴有效衔接的意见》精神，原中央财政专项扶贫资金更名为中央财政衔接推进乡村振兴补助资金，用于支持巩固拓展脱贫攻坚成果同乡村振兴有效衔接工作。为加强资金使用管理，提升资金使用效益，我们制定了《中央财政衔接推进乡村振兴补助资金管理办法》，现印发给你们，请遵照执行。</w:t>
      </w:r>
    </w:p>
    <w:p w:rsidR="008026C7" w:rsidRPr="00D652DD" w:rsidRDefault="008026C7" w:rsidP="008026C7">
      <w:pPr>
        <w:widowControl/>
        <w:shd w:val="clear" w:color="auto" w:fill="FFFFFF"/>
        <w:spacing w:after="240"/>
        <w:jc w:val="left"/>
        <w:rPr>
          <w:rFonts w:ascii="仿宋_GB2312" w:eastAsia="仿宋_GB2312" w:hAnsi="宋体" w:cs="宋体"/>
          <w:color w:val="333333"/>
          <w:kern w:val="0"/>
          <w:sz w:val="32"/>
          <w:szCs w:val="32"/>
        </w:rPr>
      </w:pPr>
      <w:r w:rsidRPr="00D652DD">
        <w:rPr>
          <w:rFonts w:ascii="仿宋_GB2312" w:eastAsia="仿宋_GB2312" w:hAnsi="宋体" w:cs="宋体" w:hint="eastAsia"/>
          <w:color w:val="333333"/>
          <w:kern w:val="0"/>
          <w:sz w:val="32"/>
          <w:szCs w:val="32"/>
        </w:rPr>
        <w:t xml:space="preserve">　　附件：中央财政衔接推进乡村振兴补助资金管理办法</w:t>
      </w:r>
    </w:p>
    <w:p w:rsidR="008026C7" w:rsidRPr="00D652DD" w:rsidRDefault="008026C7" w:rsidP="008026C7">
      <w:pPr>
        <w:widowControl/>
        <w:shd w:val="clear" w:color="auto" w:fill="FFFFFF"/>
        <w:spacing w:after="240"/>
        <w:jc w:val="left"/>
        <w:rPr>
          <w:rFonts w:ascii="仿宋_GB2312" w:eastAsia="仿宋_GB2312" w:hAnsi="宋体" w:cs="宋体"/>
          <w:color w:val="333333"/>
          <w:kern w:val="0"/>
          <w:sz w:val="32"/>
          <w:szCs w:val="32"/>
        </w:rPr>
      </w:pPr>
      <w:r w:rsidRPr="00D652DD">
        <w:rPr>
          <w:rFonts w:ascii="宋体" w:eastAsia="仿宋_GB2312" w:hAnsi="宋体" w:cs="宋体" w:hint="eastAsia"/>
          <w:color w:val="333333"/>
          <w:kern w:val="0"/>
          <w:sz w:val="32"/>
          <w:szCs w:val="32"/>
        </w:rPr>
        <w:t> </w:t>
      </w:r>
    </w:p>
    <w:p w:rsidR="008026C7" w:rsidRPr="00D652DD" w:rsidRDefault="008026C7" w:rsidP="008026C7">
      <w:pPr>
        <w:widowControl/>
        <w:shd w:val="clear" w:color="auto" w:fill="FFFFFF"/>
        <w:spacing w:after="240"/>
        <w:jc w:val="right"/>
        <w:rPr>
          <w:rFonts w:ascii="仿宋_GB2312" w:eastAsia="仿宋_GB2312" w:hAnsi="宋体" w:cs="宋体"/>
          <w:color w:val="333333"/>
          <w:kern w:val="0"/>
          <w:sz w:val="32"/>
          <w:szCs w:val="32"/>
        </w:rPr>
      </w:pPr>
      <w:r w:rsidRPr="00D652DD">
        <w:rPr>
          <w:rFonts w:ascii="仿宋_GB2312" w:eastAsia="仿宋_GB2312" w:hAnsi="宋体" w:cs="宋体" w:hint="eastAsia"/>
          <w:color w:val="333333"/>
          <w:kern w:val="0"/>
          <w:sz w:val="32"/>
          <w:szCs w:val="32"/>
        </w:rPr>
        <w:t xml:space="preserve">　　财政部 国家乡村振兴局</w:t>
      </w:r>
      <w:r w:rsidRPr="00D652DD">
        <w:rPr>
          <w:rFonts w:ascii="宋体" w:eastAsia="仿宋_GB2312" w:hAnsi="宋体" w:cs="宋体" w:hint="eastAsia"/>
          <w:color w:val="333333"/>
          <w:kern w:val="0"/>
          <w:sz w:val="32"/>
          <w:szCs w:val="32"/>
        </w:rPr>
        <w:t> </w:t>
      </w:r>
      <w:r w:rsidRPr="00D652DD">
        <w:rPr>
          <w:rFonts w:ascii="仿宋_GB2312" w:eastAsia="仿宋_GB2312" w:hAnsi="宋体" w:cs="宋体" w:hint="eastAsia"/>
          <w:color w:val="333333"/>
          <w:kern w:val="0"/>
          <w:sz w:val="32"/>
          <w:szCs w:val="32"/>
        </w:rPr>
        <w:t>国家发展改革委</w:t>
      </w:r>
    </w:p>
    <w:p w:rsidR="008026C7" w:rsidRPr="00D652DD" w:rsidRDefault="008026C7" w:rsidP="008026C7">
      <w:pPr>
        <w:widowControl/>
        <w:shd w:val="clear" w:color="auto" w:fill="FFFFFF"/>
        <w:spacing w:after="240"/>
        <w:jc w:val="right"/>
        <w:rPr>
          <w:rFonts w:ascii="仿宋_GB2312" w:eastAsia="仿宋_GB2312" w:hAnsi="宋体" w:cs="宋体"/>
          <w:color w:val="333333"/>
          <w:kern w:val="0"/>
          <w:sz w:val="32"/>
          <w:szCs w:val="32"/>
        </w:rPr>
      </w:pPr>
      <w:r w:rsidRPr="00D652DD">
        <w:rPr>
          <w:rFonts w:ascii="仿宋_GB2312" w:eastAsia="仿宋_GB2312" w:hAnsi="宋体" w:cs="宋体" w:hint="eastAsia"/>
          <w:color w:val="333333"/>
          <w:kern w:val="0"/>
          <w:sz w:val="32"/>
          <w:szCs w:val="32"/>
        </w:rPr>
        <w:t xml:space="preserve">　　国家民委 农业农村部 国家林业和草原局</w:t>
      </w:r>
    </w:p>
    <w:p w:rsidR="008026C7" w:rsidRPr="00D652DD" w:rsidRDefault="008026C7" w:rsidP="008026C7">
      <w:pPr>
        <w:widowControl/>
        <w:shd w:val="clear" w:color="auto" w:fill="FFFFFF"/>
        <w:jc w:val="right"/>
        <w:rPr>
          <w:rFonts w:ascii="仿宋_GB2312" w:eastAsia="仿宋_GB2312" w:hAnsi="宋体" w:cs="宋体"/>
          <w:color w:val="333333"/>
          <w:kern w:val="0"/>
          <w:sz w:val="32"/>
          <w:szCs w:val="32"/>
        </w:rPr>
      </w:pPr>
      <w:r w:rsidRPr="00D652DD">
        <w:rPr>
          <w:rFonts w:ascii="仿宋_GB2312" w:eastAsia="仿宋_GB2312" w:hAnsi="宋体" w:cs="宋体" w:hint="eastAsia"/>
          <w:color w:val="333333"/>
          <w:kern w:val="0"/>
          <w:sz w:val="32"/>
          <w:szCs w:val="32"/>
        </w:rPr>
        <w:t xml:space="preserve">　　2021年3月26日</w:t>
      </w:r>
    </w:p>
    <w:p w:rsidR="00D652DD" w:rsidRDefault="00D652DD" w:rsidP="008026C7">
      <w:pPr>
        <w:spacing w:line="560" w:lineRule="exact"/>
        <w:jc w:val="left"/>
        <w:rPr>
          <w:rFonts w:ascii="仿宋_GB2312" w:eastAsia="仿宋_GB2312" w:hAnsi="黑体"/>
          <w:sz w:val="32"/>
          <w:szCs w:val="32"/>
        </w:rPr>
      </w:pPr>
    </w:p>
    <w:p w:rsidR="008026C7" w:rsidRPr="00D652DD" w:rsidRDefault="008026C7" w:rsidP="008026C7">
      <w:pPr>
        <w:spacing w:line="560" w:lineRule="exact"/>
        <w:jc w:val="left"/>
        <w:rPr>
          <w:rFonts w:ascii="仿宋_GB2312" w:eastAsia="仿宋_GB2312" w:hAnsi="黑体"/>
          <w:sz w:val="32"/>
          <w:szCs w:val="32"/>
        </w:rPr>
      </w:pPr>
      <w:r w:rsidRPr="00D652DD">
        <w:rPr>
          <w:rFonts w:ascii="仿宋_GB2312" w:eastAsia="仿宋_GB2312" w:hAnsi="黑体" w:hint="eastAsia"/>
          <w:sz w:val="32"/>
          <w:szCs w:val="32"/>
        </w:rPr>
        <w:lastRenderedPageBreak/>
        <w:t>附件：</w:t>
      </w:r>
    </w:p>
    <w:p w:rsidR="008026C7" w:rsidRPr="00D652DD" w:rsidRDefault="008026C7" w:rsidP="008026C7">
      <w:pPr>
        <w:spacing w:line="560" w:lineRule="exact"/>
        <w:jc w:val="left"/>
        <w:rPr>
          <w:rFonts w:ascii="仿宋_GB2312" w:eastAsia="仿宋_GB2312" w:hAnsi="华文中宋"/>
          <w:b/>
          <w:sz w:val="32"/>
          <w:szCs w:val="32"/>
        </w:rPr>
      </w:pPr>
    </w:p>
    <w:p w:rsidR="008026C7" w:rsidRPr="00D652DD" w:rsidRDefault="008026C7" w:rsidP="008026C7">
      <w:pPr>
        <w:spacing w:line="560" w:lineRule="exact"/>
        <w:jc w:val="center"/>
        <w:rPr>
          <w:rFonts w:ascii="仿宋_GB2312" w:eastAsia="仿宋_GB2312" w:hAnsi="华文中宋"/>
          <w:b/>
          <w:sz w:val="32"/>
          <w:szCs w:val="32"/>
        </w:rPr>
      </w:pPr>
      <w:r w:rsidRPr="00D652DD">
        <w:rPr>
          <w:rFonts w:ascii="仿宋_GB2312" w:eastAsia="仿宋_GB2312" w:hAnsi="华文中宋" w:hint="eastAsia"/>
          <w:b/>
          <w:sz w:val="32"/>
          <w:szCs w:val="32"/>
        </w:rPr>
        <w:t>中央财政衔接推进乡村振兴补助资金管理办法</w:t>
      </w:r>
    </w:p>
    <w:p w:rsidR="008026C7" w:rsidRPr="00D652DD" w:rsidRDefault="008026C7" w:rsidP="008026C7">
      <w:pPr>
        <w:spacing w:line="560" w:lineRule="exact"/>
        <w:jc w:val="center"/>
        <w:rPr>
          <w:rFonts w:ascii="仿宋_GB2312" w:eastAsia="仿宋_GB2312" w:hAnsi="华文中宋"/>
          <w:b/>
          <w:sz w:val="32"/>
          <w:szCs w:val="32"/>
        </w:rPr>
      </w:pPr>
    </w:p>
    <w:p w:rsidR="008026C7" w:rsidRPr="00D652DD" w:rsidRDefault="008026C7" w:rsidP="008026C7">
      <w:pPr>
        <w:snapToGrid w:val="0"/>
        <w:spacing w:line="560" w:lineRule="exact"/>
        <w:ind w:firstLineChars="200" w:firstLine="640"/>
        <w:rPr>
          <w:rFonts w:ascii="仿宋_GB2312" w:eastAsia="仿宋_GB2312" w:hAnsi="仿宋"/>
          <w:sz w:val="32"/>
          <w:szCs w:val="32"/>
        </w:rPr>
      </w:pPr>
      <w:r w:rsidRPr="00D652DD">
        <w:rPr>
          <w:rFonts w:ascii="仿宋_GB2312" w:eastAsia="仿宋_GB2312" w:hAnsi="仿宋" w:hint="eastAsia"/>
          <w:sz w:val="32"/>
          <w:szCs w:val="32"/>
        </w:rPr>
        <w:t>为贯彻落实《中共中央 国务院关于实现巩固拓展脱贫攻坚成果同乡村振兴有效衔接的意见》精神，加强过渡期中央财政衔接推进乡村振兴补助资金（以下简称衔接资金）管理，根据预算管理的有关规定，特制定本办法。</w:t>
      </w:r>
    </w:p>
    <w:p w:rsidR="008026C7" w:rsidRPr="00D652DD" w:rsidRDefault="008026C7" w:rsidP="008026C7">
      <w:pPr>
        <w:tabs>
          <w:tab w:val="left" w:pos="2160"/>
        </w:tabs>
        <w:snapToGrid w:val="0"/>
        <w:spacing w:line="560" w:lineRule="exact"/>
        <w:ind w:firstLineChars="200" w:firstLine="643"/>
        <w:rPr>
          <w:rFonts w:ascii="仿宋_GB2312" w:eastAsia="仿宋_GB2312" w:hAnsi="仿宋"/>
          <w:sz w:val="32"/>
          <w:szCs w:val="32"/>
        </w:rPr>
      </w:pPr>
      <w:r w:rsidRPr="00D652DD">
        <w:rPr>
          <w:rFonts w:ascii="仿宋_GB2312" w:eastAsia="仿宋_GB2312" w:hAnsi="仿宋" w:hint="eastAsia"/>
          <w:b/>
          <w:sz w:val="32"/>
          <w:szCs w:val="32"/>
        </w:rPr>
        <w:t xml:space="preserve">第一条 </w:t>
      </w:r>
      <w:r w:rsidRPr="00D652DD">
        <w:rPr>
          <w:rFonts w:ascii="仿宋_GB2312" w:eastAsia="仿宋_GB2312" w:hAnsi="仿宋" w:hint="eastAsia"/>
          <w:sz w:val="32"/>
          <w:szCs w:val="32"/>
        </w:rPr>
        <w:t>衔接资金用于支持各省(自治区、直辖市，以下统称各省)巩固拓展脱贫攻坚成果同乡村振兴有效衔接，具体包括以下三个方面：</w:t>
      </w:r>
    </w:p>
    <w:p w:rsidR="008026C7" w:rsidRPr="00D652DD" w:rsidRDefault="008026C7" w:rsidP="008026C7">
      <w:pPr>
        <w:tabs>
          <w:tab w:val="left" w:pos="2160"/>
        </w:tabs>
        <w:snapToGrid w:val="0"/>
        <w:spacing w:line="560" w:lineRule="exact"/>
        <w:ind w:firstLineChars="200" w:firstLine="640"/>
        <w:rPr>
          <w:rFonts w:ascii="仿宋_GB2312" w:eastAsia="仿宋_GB2312" w:hAnsi="仿宋"/>
          <w:sz w:val="32"/>
          <w:szCs w:val="32"/>
        </w:rPr>
      </w:pPr>
      <w:r w:rsidRPr="00D652DD">
        <w:rPr>
          <w:rFonts w:ascii="仿宋_GB2312" w:eastAsia="仿宋_GB2312" w:hAnsi="仿宋" w:hint="eastAsia"/>
          <w:sz w:val="32"/>
          <w:szCs w:val="32"/>
        </w:rPr>
        <w:t>（一）支持巩固拓展脱贫攻坚成果。</w:t>
      </w:r>
    </w:p>
    <w:p w:rsidR="008026C7" w:rsidRPr="00D652DD" w:rsidRDefault="008026C7" w:rsidP="008026C7">
      <w:pPr>
        <w:tabs>
          <w:tab w:val="left" w:pos="2160"/>
        </w:tabs>
        <w:snapToGrid w:val="0"/>
        <w:spacing w:line="560" w:lineRule="exact"/>
        <w:ind w:firstLineChars="200" w:firstLine="640"/>
        <w:rPr>
          <w:rFonts w:ascii="仿宋_GB2312" w:eastAsia="仿宋_GB2312"/>
          <w:sz w:val="32"/>
          <w:szCs w:val="32"/>
        </w:rPr>
      </w:pPr>
      <w:r w:rsidRPr="00D652DD">
        <w:rPr>
          <w:rFonts w:ascii="仿宋_GB2312" w:eastAsia="仿宋_GB2312" w:hint="eastAsia"/>
          <w:sz w:val="32"/>
          <w:szCs w:val="32"/>
        </w:rPr>
        <w:t>1.健全防止返贫致贫监测和帮扶机制，加强监测预警，强化及时帮扶，对监测帮扶对象采取有针对性的预防性措施和事后帮扶措施。可安排产业发展、小额信贷贴息、生产经营和劳动技能培训、公益岗位补助等支出。</w:t>
      </w:r>
      <w:r w:rsidRPr="00D652DD">
        <w:rPr>
          <w:rFonts w:ascii="仿宋_GB2312" w:eastAsia="仿宋_GB2312" w:hAnsi="黑体" w:hint="eastAsia"/>
          <w:sz w:val="32"/>
          <w:szCs w:val="32"/>
        </w:rPr>
        <w:t>低保、</w:t>
      </w:r>
      <w:proofErr w:type="gramStart"/>
      <w:r w:rsidRPr="00D652DD">
        <w:rPr>
          <w:rFonts w:ascii="仿宋_GB2312" w:eastAsia="仿宋_GB2312" w:hAnsi="黑体" w:hint="eastAsia"/>
          <w:sz w:val="32"/>
          <w:szCs w:val="32"/>
        </w:rPr>
        <w:t>医</w:t>
      </w:r>
      <w:proofErr w:type="gramEnd"/>
      <w:r w:rsidRPr="00D652DD">
        <w:rPr>
          <w:rFonts w:ascii="仿宋_GB2312" w:eastAsia="仿宋_GB2312" w:hAnsi="黑体" w:hint="eastAsia"/>
          <w:sz w:val="32"/>
          <w:szCs w:val="32"/>
        </w:rPr>
        <w:t>保、养老保险、临时救助等综合保障措施，通过原资金渠道支持。</w:t>
      </w:r>
      <w:r w:rsidRPr="00D652DD">
        <w:rPr>
          <w:rFonts w:ascii="仿宋_GB2312" w:eastAsia="仿宋_GB2312" w:hint="eastAsia"/>
          <w:sz w:val="32"/>
          <w:szCs w:val="32"/>
        </w:rPr>
        <w:t>监测预警工作经费通过各级部门预算安排。</w:t>
      </w:r>
    </w:p>
    <w:p w:rsidR="008026C7" w:rsidRPr="00D652DD" w:rsidRDefault="008026C7" w:rsidP="008026C7">
      <w:pPr>
        <w:tabs>
          <w:tab w:val="left" w:pos="2160"/>
        </w:tabs>
        <w:snapToGrid w:val="0"/>
        <w:spacing w:line="560" w:lineRule="exact"/>
        <w:ind w:firstLineChars="200" w:firstLine="640"/>
        <w:rPr>
          <w:rFonts w:ascii="仿宋_GB2312" w:eastAsia="仿宋_GB2312"/>
          <w:sz w:val="32"/>
          <w:szCs w:val="32"/>
        </w:rPr>
      </w:pPr>
      <w:r w:rsidRPr="00D652DD">
        <w:rPr>
          <w:rFonts w:ascii="仿宋_GB2312" w:eastAsia="仿宋_GB2312" w:hint="eastAsia"/>
          <w:sz w:val="32"/>
          <w:szCs w:val="32"/>
        </w:rPr>
        <w:t>2.“十三五”易地扶贫搬迁后续扶持。支持实施带动搬迁群众发展的项目，对集中安置区聘用搬迁群众的公共服务岗位和“一站式”社区综合服务设施建设等费用予以适当补助。对规划内的易地扶贫搬迁贷款和调整规范后的地方政府债券按规定予以贴息补助。</w:t>
      </w:r>
    </w:p>
    <w:p w:rsidR="008026C7" w:rsidRPr="00D652DD" w:rsidRDefault="008026C7" w:rsidP="008026C7">
      <w:pPr>
        <w:tabs>
          <w:tab w:val="left" w:pos="2160"/>
        </w:tabs>
        <w:snapToGrid w:val="0"/>
        <w:spacing w:line="560" w:lineRule="exact"/>
        <w:ind w:firstLineChars="200" w:firstLine="640"/>
        <w:rPr>
          <w:rFonts w:ascii="仿宋_GB2312" w:eastAsia="仿宋_GB2312"/>
          <w:sz w:val="32"/>
          <w:szCs w:val="32"/>
        </w:rPr>
      </w:pPr>
      <w:r w:rsidRPr="00D652DD">
        <w:rPr>
          <w:rFonts w:ascii="仿宋_GB2312" w:eastAsia="仿宋_GB2312" w:hAnsi="仿宋" w:hint="eastAsia"/>
          <w:sz w:val="32"/>
          <w:szCs w:val="32"/>
        </w:rPr>
        <w:t>3.外出</w:t>
      </w:r>
      <w:r w:rsidRPr="00D652DD">
        <w:rPr>
          <w:rFonts w:ascii="仿宋_GB2312" w:eastAsia="仿宋_GB2312" w:hint="eastAsia"/>
          <w:sz w:val="32"/>
          <w:szCs w:val="32"/>
        </w:rPr>
        <w:t>务工脱贫劳动力（含监测帮扶对象）稳定就业，可对跨省就业的脱贫劳动力适当安排一次性交通补助。采取扶贫</w:t>
      </w:r>
      <w:r w:rsidRPr="00D652DD">
        <w:rPr>
          <w:rFonts w:ascii="仿宋_GB2312" w:eastAsia="仿宋_GB2312" w:hint="eastAsia"/>
          <w:sz w:val="32"/>
          <w:szCs w:val="32"/>
        </w:rPr>
        <w:lastRenderedPageBreak/>
        <w:t>车间、以工代赈、生产奖补、劳务补助等方式,促进返乡在乡脱贫劳动力发展产业和就业增收。继续向符合条件的脱贫家庭（含监测帮扶对象家庭）安排“雨露计划”补助。</w:t>
      </w:r>
    </w:p>
    <w:p w:rsidR="008026C7" w:rsidRPr="00D652DD" w:rsidRDefault="008026C7" w:rsidP="008026C7">
      <w:pPr>
        <w:tabs>
          <w:tab w:val="left" w:pos="2160"/>
        </w:tabs>
        <w:snapToGrid w:val="0"/>
        <w:spacing w:line="560" w:lineRule="exact"/>
        <w:ind w:firstLineChars="200" w:firstLine="640"/>
        <w:rPr>
          <w:rFonts w:ascii="仿宋_GB2312" w:eastAsia="仿宋_GB2312" w:hAnsi="仿宋"/>
          <w:sz w:val="32"/>
          <w:szCs w:val="32"/>
        </w:rPr>
      </w:pPr>
      <w:r w:rsidRPr="00D652DD">
        <w:rPr>
          <w:rFonts w:ascii="仿宋_GB2312" w:eastAsia="仿宋_GB2312" w:hAnsi="仿宋" w:hint="eastAsia"/>
          <w:sz w:val="32"/>
          <w:szCs w:val="32"/>
        </w:rPr>
        <w:t>（二）支持衔接推进乡村振兴。</w:t>
      </w:r>
    </w:p>
    <w:p w:rsidR="008026C7" w:rsidRPr="00D652DD" w:rsidRDefault="008026C7" w:rsidP="008026C7">
      <w:pPr>
        <w:tabs>
          <w:tab w:val="left" w:pos="2160"/>
        </w:tabs>
        <w:snapToGrid w:val="0"/>
        <w:spacing w:line="560" w:lineRule="exact"/>
        <w:ind w:firstLineChars="200" w:firstLine="640"/>
        <w:rPr>
          <w:rFonts w:ascii="仿宋_GB2312" w:eastAsia="仿宋_GB2312"/>
          <w:sz w:val="32"/>
          <w:szCs w:val="32"/>
        </w:rPr>
      </w:pPr>
      <w:r w:rsidRPr="00D652DD">
        <w:rPr>
          <w:rFonts w:ascii="仿宋_GB2312" w:eastAsia="仿宋_GB2312" w:hAnsi="仿宋" w:hint="eastAsia"/>
          <w:sz w:val="32"/>
          <w:szCs w:val="32"/>
        </w:rPr>
        <w:t>1.</w:t>
      </w:r>
      <w:r w:rsidRPr="00D652DD">
        <w:rPr>
          <w:rFonts w:ascii="仿宋_GB2312" w:eastAsia="仿宋_GB2312" w:hint="eastAsia"/>
          <w:sz w:val="32"/>
          <w:szCs w:val="32"/>
        </w:rPr>
        <w:t>培育和壮大欠发达地区特色优势产业并逐年提高资金占比，支持</w:t>
      </w:r>
      <w:proofErr w:type="gramStart"/>
      <w:r w:rsidRPr="00D652DD">
        <w:rPr>
          <w:rFonts w:ascii="仿宋_GB2312" w:eastAsia="仿宋_GB2312" w:hint="eastAsia"/>
          <w:sz w:val="32"/>
          <w:szCs w:val="32"/>
        </w:rPr>
        <w:t>农业品种培优</w:t>
      </w:r>
      <w:proofErr w:type="gramEnd"/>
      <w:r w:rsidRPr="00D652DD">
        <w:rPr>
          <w:rFonts w:ascii="仿宋_GB2312" w:eastAsia="仿宋_GB2312" w:hint="eastAsia"/>
          <w:sz w:val="32"/>
          <w:szCs w:val="32"/>
        </w:rPr>
        <w:t>、品质提升、品牌打造。推动产销对接和消费帮扶，解决农产品“卖难”问题。支持必要的</w:t>
      </w:r>
      <w:r w:rsidRPr="00D652DD">
        <w:rPr>
          <w:rFonts w:ascii="仿宋_GB2312" w:eastAsia="仿宋_GB2312" w:hAnsi="仿宋" w:hint="eastAsia"/>
          <w:sz w:val="32"/>
          <w:szCs w:val="32"/>
        </w:rPr>
        <w:t>产业配套基础设施建设。</w:t>
      </w:r>
      <w:r w:rsidRPr="00D652DD">
        <w:rPr>
          <w:rFonts w:ascii="仿宋_GB2312" w:eastAsia="仿宋_GB2312" w:hint="eastAsia"/>
          <w:sz w:val="32"/>
          <w:szCs w:val="32"/>
        </w:rPr>
        <w:t>支持脱贫村发展壮大村级集体经济。</w:t>
      </w:r>
    </w:p>
    <w:p w:rsidR="008026C7" w:rsidRPr="00D652DD" w:rsidRDefault="008026C7" w:rsidP="008026C7">
      <w:pPr>
        <w:tabs>
          <w:tab w:val="left" w:pos="2160"/>
        </w:tabs>
        <w:snapToGrid w:val="0"/>
        <w:spacing w:line="560" w:lineRule="exact"/>
        <w:ind w:firstLineChars="200" w:firstLine="640"/>
        <w:rPr>
          <w:rFonts w:ascii="仿宋_GB2312" w:eastAsia="仿宋_GB2312" w:hAnsi="仿宋"/>
          <w:sz w:val="32"/>
          <w:szCs w:val="32"/>
        </w:rPr>
      </w:pPr>
      <w:r w:rsidRPr="00D652DD">
        <w:rPr>
          <w:rFonts w:ascii="仿宋_GB2312" w:eastAsia="仿宋_GB2312" w:hint="eastAsia"/>
          <w:sz w:val="32"/>
          <w:szCs w:val="32"/>
        </w:rPr>
        <w:t>2.</w:t>
      </w:r>
      <w:r w:rsidRPr="00D652DD">
        <w:rPr>
          <w:rFonts w:ascii="仿宋_GB2312" w:eastAsia="仿宋_GB2312" w:hAnsi="仿宋" w:hint="eastAsia"/>
          <w:sz w:val="32"/>
          <w:szCs w:val="32"/>
        </w:rPr>
        <w:t>补齐</w:t>
      </w:r>
      <w:r w:rsidRPr="00D652DD">
        <w:rPr>
          <w:rFonts w:ascii="仿宋_GB2312" w:eastAsia="仿宋_GB2312" w:hint="eastAsia"/>
          <w:sz w:val="32"/>
          <w:szCs w:val="32"/>
        </w:rPr>
        <w:t>必要的农村人居环境整治和小型公益性基础设施建设</w:t>
      </w:r>
      <w:r w:rsidRPr="00D652DD">
        <w:rPr>
          <w:rFonts w:ascii="仿宋_GB2312" w:eastAsia="仿宋_GB2312" w:hAnsi="仿宋" w:hint="eastAsia"/>
          <w:sz w:val="32"/>
          <w:szCs w:val="32"/>
        </w:rPr>
        <w:t>短板。主要包括水、电、路、网等农业生产配套设施，以及垃圾清运等小型公益</w:t>
      </w:r>
      <w:r w:rsidRPr="00D652DD">
        <w:rPr>
          <w:rFonts w:ascii="仿宋_GB2312" w:eastAsia="仿宋_GB2312" w:hint="eastAsia"/>
          <w:sz w:val="32"/>
          <w:szCs w:val="32"/>
        </w:rPr>
        <w:t>性</w:t>
      </w:r>
      <w:r w:rsidRPr="00D652DD">
        <w:rPr>
          <w:rFonts w:ascii="仿宋_GB2312" w:eastAsia="仿宋_GB2312" w:hAnsi="仿宋" w:hint="eastAsia"/>
          <w:sz w:val="32"/>
          <w:szCs w:val="32"/>
        </w:rPr>
        <w:t>生活设施。教育、卫生、养老服务、文化等农村基本公共服务通过原资金渠道支持。</w:t>
      </w:r>
    </w:p>
    <w:p w:rsidR="008026C7" w:rsidRPr="00D652DD" w:rsidRDefault="008026C7" w:rsidP="008026C7">
      <w:pPr>
        <w:tabs>
          <w:tab w:val="left" w:pos="2160"/>
        </w:tabs>
        <w:snapToGrid w:val="0"/>
        <w:spacing w:line="560" w:lineRule="exact"/>
        <w:ind w:firstLineChars="200" w:firstLine="640"/>
        <w:rPr>
          <w:rFonts w:ascii="仿宋_GB2312" w:eastAsia="仿宋_GB2312" w:hAnsi="仿宋"/>
          <w:sz w:val="32"/>
          <w:szCs w:val="32"/>
        </w:rPr>
      </w:pPr>
      <w:r w:rsidRPr="00D652DD">
        <w:rPr>
          <w:rFonts w:ascii="仿宋_GB2312" w:eastAsia="仿宋_GB2312" w:hAnsi="仿宋" w:hint="eastAsia"/>
          <w:sz w:val="32"/>
          <w:szCs w:val="32"/>
        </w:rPr>
        <w:t>3.实施兴边富民行动、人口较少民族发展、少数民族特色产业和民族村寨发展、困难群众</w:t>
      </w:r>
      <w:proofErr w:type="gramStart"/>
      <w:r w:rsidRPr="00D652DD">
        <w:rPr>
          <w:rFonts w:ascii="仿宋_GB2312" w:eastAsia="仿宋_GB2312" w:hAnsi="仿宋" w:hint="eastAsia"/>
          <w:sz w:val="32"/>
          <w:szCs w:val="32"/>
        </w:rPr>
        <w:t>饮用低氟边</w:t>
      </w:r>
      <w:proofErr w:type="gramEnd"/>
      <w:r w:rsidRPr="00D652DD">
        <w:rPr>
          <w:rFonts w:ascii="仿宋_GB2312" w:eastAsia="仿宋_GB2312" w:hAnsi="仿宋" w:hint="eastAsia"/>
          <w:sz w:val="32"/>
          <w:szCs w:val="32"/>
        </w:rPr>
        <w:t>销茶，以工代赈项目，欠发达国有农场和欠发达国有林场巩固发展，“三西”地区农业建设。</w:t>
      </w:r>
    </w:p>
    <w:p w:rsidR="008026C7" w:rsidRPr="00D652DD" w:rsidRDefault="008026C7" w:rsidP="008026C7">
      <w:pPr>
        <w:tabs>
          <w:tab w:val="left" w:pos="2160"/>
        </w:tabs>
        <w:snapToGrid w:val="0"/>
        <w:spacing w:line="560" w:lineRule="exact"/>
        <w:ind w:firstLineChars="200" w:firstLine="640"/>
        <w:rPr>
          <w:rFonts w:ascii="仿宋_GB2312" w:eastAsia="仿宋_GB2312" w:hAnsi="仿宋"/>
          <w:sz w:val="32"/>
          <w:szCs w:val="32"/>
        </w:rPr>
      </w:pPr>
      <w:r w:rsidRPr="00D652DD">
        <w:rPr>
          <w:rFonts w:ascii="仿宋_GB2312" w:eastAsia="仿宋_GB2312" w:hAnsi="仿宋" w:hint="eastAsia"/>
          <w:sz w:val="32"/>
          <w:szCs w:val="32"/>
        </w:rPr>
        <w:t>（三）巩固拓展脱贫攻坚成果同乡村振兴有效衔接的其他相关支出。</w:t>
      </w:r>
    </w:p>
    <w:p w:rsidR="008026C7" w:rsidRPr="00D652DD" w:rsidRDefault="008026C7" w:rsidP="008026C7">
      <w:pPr>
        <w:tabs>
          <w:tab w:val="left" w:pos="2160"/>
        </w:tabs>
        <w:snapToGrid w:val="0"/>
        <w:spacing w:line="560" w:lineRule="exact"/>
        <w:ind w:firstLineChars="200" w:firstLine="640"/>
        <w:rPr>
          <w:rFonts w:ascii="仿宋_GB2312" w:eastAsia="仿宋_GB2312" w:hAnsi="仿宋"/>
          <w:sz w:val="32"/>
          <w:szCs w:val="32"/>
        </w:rPr>
      </w:pPr>
      <w:r w:rsidRPr="00D652DD">
        <w:rPr>
          <w:rFonts w:ascii="仿宋_GB2312" w:eastAsia="仿宋_GB2312" w:hAnsi="仿宋" w:hint="eastAsia"/>
          <w:sz w:val="32"/>
          <w:szCs w:val="32"/>
        </w:rPr>
        <w:t>衔接资金不得用于与巩固拓展脱贫攻坚成果和推进欠发达地区乡村振兴无关的支出，包括：单位基本支出、交通工具及通讯设备、修建楼堂馆所、各种奖金津贴和福利补助、偿还债务和垫资等。偿还易地扶贫搬迁债务按有关规定执行。</w:t>
      </w:r>
    </w:p>
    <w:p w:rsidR="008026C7" w:rsidRPr="00D652DD" w:rsidRDefault="008026C7" w:rsidP="00D652DD">
      <w:pPr>
        <w:tabs>
          <w:tab w:val="left" w:pos="2160"/>
        </w:tabs>
        <w:snapToGrid w:val="0"/>
        <w:spacing w:line="560" w:lineRule="exact"/>
        <w:ind w:firstLineChars="200" w:firstLine="643"/>
        <w:rPr>
          <w:rFonts w:ascii="仿宋_GB2312" w:eastAsia="仿宋_GB2312" w:hAnsi="仿宋"/>
          <w:sz w:val="32"/>
          <w:szCs w:val="32"/>
        </w:rPr>
      </w:pPr>
      <w:r w:rsidRPr="00D652DD">
        <w:rPr>
          <w:rFonts w:ascii="仿宋_GB2312" w:eastAsia="仿宋_GB2312" w:hAnsi="仿宋" w:hint="eastAsia"/>
          <w:b/>
          <w:sz w:val="32"/>
          <w:szCs w:val="32"/>
        </w:rPr>
        <w:t xml:space="preserve">第二条 </w:t>
      </w:r>
      <w:r w:rsidRPr="00D652DD">
        <w:rPr>
          <w:rFonts w:ascii="仿宋_GB2312" w:eastAsia="仿宋_GB2312" w:hAnsi="仿宋" w:hint="eastAsia"/>
          <w:sz w:val="32"/>
          <w:szCs w:val="32"/>
        </w:rPr>
        <w:t>衔接资金按照巩固拓展脱贫攻坚成果和乡村振兴、以工代赈、少数民族发展、欠发达国有农场巩固提升、欠发达国有林场巩固提升、“三西”农业建设任务进行分配。资金分配</w:t>
      </w:r>
      <w:r w:rsidRPr="00D652DD">
        <w:rPr>
          <w:rFonts w:ascii="仿宋_GB2312" w:eastAsia="仿宋_GB2312" w:hAnsi="仿宋" w:hint="eastAsia"/>
          <w:sz w:val="32"/>
          <w:szCs w:val="32"/>
        </w:rPr>
        <w:lastRenderedPageBreak/>
        <w:t>按照因素法进行测算，因素和权重为：相关人群数量及结构30%、相关人群收入30%、政策因素30%、绩效等考核结果10%，并进行综合平衡。各项任务按照上述因素分别确定具体测算指标(详见附件)。“三西”农业建设任务按照国务院批准的规模安排。</w:t>
      </w:r>
    </w:p>
    <w:p w:rsidR="008026C7" w:rsidRPr="00D652DD" w:rsidRDefault="008026C7" w:rsidP="00D652DD">
      <w:pPr>
        <w:snapToGrid w:val="0"/>
        <w:spacing w:line="560" w:lineRule="exact"/>
        <w:ind w:firstLineChars="200" w:firstLine="643"/>
        <w:rPr>
          <w:rFonts w:ascii="仿宋_GB2312" w:eastAsia="仿宋_GB2312" w:hAnsi="仿宋"/>
          <w:sz w:val="32"/>
          <w:szCs w:val="32"/>
        </w:rPr>
      </w:pPr>
      <w:r w:rsidRPr="00D652DD">
        <w:rPr>
          <w:rFonts w:ascii="仿宋_GB2312" w:eastAsia="仿宋_GB2312" w:hAnsi="仿宋" w:hint="eastAsia"/>
          <w:b/>
          <w:sz w:val="32"/>
          <w:szCs w:val="32"/>
        </w:rPr>
        <w:t xml:space="preserve">第三条 </w:t>
      </w:r>
      <w:r w:rsidRPr="00D652DD">
        <w:rPr>
          <w:rFonts w:ascii="仿宋_GB2312" w:eastAsia="仿宋_GB2312" w:hAnsi="仿宋" w:hint="eastAsia"/>
          <w:sz w:val="32"/>
          <w:szCs w:val="32"/>
        </w:rPr>
        <w:t>衔接资金应当统筹安排使用，形成合力。综合考虑脱贫</w:t>
      </w:r>
      <w:proofErr w:type="gramStart"/>
      <w:r w:rsidRPr="00D652DD">
        <w:rPr>
          <w:rFonts w:ascii="仿宋_GB2312" w:eastAsia="仿宋_GB2312" w:hAnsi="仿宋" w:hint="eastAsia"/>
          <w:sz w:val="32"/>
          <w:szCs w:val="32"/>
        </w:rPr>
        <w:t>县规模</w:t>
      </w:r>
      <w:proofErr w:type="gramEnd"/>
      <w:r w:rsidRPr="00D652DD">
        <w:rPr>
          <w:rFonts w:ascii="仿宋_GB2312" w:eastAsia="仿宋_GB2312" w:hAnsi="仿宋" w:hint="eastAsia"/>
          <w:sz w:val="32"/>
          <w:szCs w:val="32"/>
        </w:rPr>
        <w:t>和分布，实行分类分档支持。对国家乡村振兴重点帮扶县及新疆、西藏予以倾斜支持。东部地区应结合实际将衔接资金主要用于吸纳中西部脱贫人口跨省就业。中西部地区继续按规定开展统筹整合使用财政涉农资金试点工作的脱贫县，资金使用按照统筹整合有关要求执行。</w:t>
      </w:r>
    </w:p>
    <w:p w:rsidR="008026C7" w:rsidRPr="00D652DD" w:rsidRDefault="008026C7" w:rsidP="00D652DD">
      <w:pPr>
        <w:tabs>
          <w:tab w:val="left" w:pos="2160"/>
        </w:tabs>
        <w:snapToGrid w:val="0"/>
        <w:spacing w:line="560" w:lineRule="exact"/>
        <w:ind w:firstLineChars="200" w:firstLine="640"/>
        <w:rPr>
          <w:rFonts w:ascii="仿宋_GB2312" w:eastAsia="仿宋_GB2312" w:hAnsi="仿宋"/>
          <w:sz w:val="32"/>
          <w:szCs w:val="32"/>
        </w:rPr>
      </w:pPr>
      <w:r w:rsidRPr="00D652DD">
        <w:rPr>
          <w:rFonts w:ascii="仿宋_GB2312" w:eastAsia="仿宋_GB2312" w:hAnsi="仿宋" w:hint="eastAsia"/>
          <w:sz w:val="32"/>
          <w:szCs w:val="32"/>
        </w:rPr>
        <w:t>各省在分配衔接资金时，要统筹兼顾脱贫县和非贫困县实际情况，推动均衡发展。衔接资金项目审批权限下放到县级，强化县级管理责任，县级可统筹安排不超过30%的到县衔接资金，支持非贫困村发展产业、补齐必要的基础设施短板及县级乡村振兴规划相关项目。</w:t>
      </w:r>
    </w:p>
    <w:p w:rsidR="008026C7" w:rsidRPr="00D652DD" w:rsidRDefault="008026C7" w:rsidP="00D652DD">
      <w:pPr>
        <w:snapToGrid w:val="0"/>
        <w:spacing w:line="560" w:lineRule="exact"/>
        <w:ind w:firstLineChars="197" w:firstLine="633"/>
        <w:rPr>
          <w:rFonts w:ascii="仿宋_GB2312" w:eastAsia="仿宋_GB2312"/>
          <w:sz w:val="32"/>
          <w:szCs w:val="32"/>
        </w:rPr>
      </w:pPr>
      <w:r w:rsidRPr="00D652DD">
        <w:rPr>
          <w:rFonts w:ascii="仿宋_GB2312" w:eastAsia="仿宋_GB2312" w:hAnsi="仿宋" w:hint="eastAsia"/>
          <w:b/>
          <w:sz w:val="32"/>
          <w:szCs w:val="32"/>
        </w:rPr>
        <w:t xml:space="preserve">第四条 </w:t>
      </w:r>
      <w:r w:rsidRPr="00D652DD">
        <w:rPr>
          <w:rFonts w:ascii="仿宋_GB2312" w:eastAsia="仿宋_GB2312" w:hAnsi="仿宋" w:hint="eastAsia"/>
          <w:sz w:val="32"/>
          <w:szCs w:val="32"/>
        </w:rPr>
        <w:t>各地要建立完善巩固拓展脱贫攻坚成果和乡村振兴项目库，提前做好项目储备，严格项目论证入库，衔接资金支持的项目原则上要从项目库选择，且符合本办法要求。属于政府采购管理范围的项目，执行政府采购相关规定，村级微小型项目可按照村民民主议事方式直接委托村级组织自建自营。</w:t>
      </w:r>
      <w:r w:rsidRPr="00D652DD">
        <w:rPr>
          <w:rFonts w:ascii="仿宋_GB2312" w:eastAsia="仿宋_GB2312" w:hint="eastAsia"/>
          <w:sz w:val="32"/>
          <w:szCs w:val="32"/>
        </w:rPr>
        <w:t>各地要</w:t>
      </w:r>
      <w:r w:rsidRPr="00D652DD">
        <w:rPr>
          <w:rFonts w:ascii="仿宋_GB2312" w:eastAsia="仿宋_GB2312" w:hAnsi="仿宋" w:hint="eastAsia"/>
          <w:sz w:val="32"/>
          <w:szCs w:val="32"/>
        </w:rPr>
        <w:t>加强衔接资金和项目管理，落实绩效管理要求，全面推行公开公示制度，</w:t>
      </w:r>
      <w:r w:rsidRPr="00D652DD">
        <w:rPr>
          <w:rFonts w:ascii="仿宋_GB2312" w:eastAsia="仿宋_GB2312" w:hint="eastAsia"/>
          <w:sz w:val="32"/>
          <w:szCs w:val="32"/>
        </w:rPr>
        <w:t>加快预算执行，提高资金使用效益。</w:t>
      </w:r>
    </w:p>
    <w:p w:rsidR="008026C7" w:rsidRPr="00D652DD" w:rsidRDefault="008026C7" w:rsidP="00D652DD">
      <w:pPr>
        <w:snapToGrid w:val="0"/>
        <w:spacing w:line="560" w:lineRule="exact"/>
        <w:ind w:firstLineChars="197" w:firstLine="630"/>
        <w:rPr>
          <w:rFonts w:ascii="仿宋_GB2312" w:eastAsia="仿宋_GB2312" w:hAnsi="仿宋"/>
          <w:sz w:val="32"/>
          <w:szCs w:val="32"/>
        </w:rPr>
      </w:pPr>
      <w:r w:rsidRPr="00D652DD">
        <w:rPr>
          <w:rFonts w:ascii="仿宋_GB2312" w:eastAsia="仿宋_GB2312" w:hAnsi="仿宋" w:hint="eastAsia"/>
          <w:sz w:val="32"/>
          <w:szCs w:val="32"/>
        </w:rPr>
        <w:t>各省可按照不超过1%的比例从衔接资金中统筹安排项目管理费，由县级使用。项目管理费主要用于项目前期设计、评审、招标、监理以及验收等与项目管理相关的支出。</w:t>
      </w:r>
    </w:p>
    <w:p w:rsidR="008026C7" w:rsidRPr="00D652DD" w:rsidRDefault="008026C7" w:rsidP="00D652DD">
      <w:pPr>
        <w:spacing w:line="560" w:lineRule="exact"/>
        <w:ind w:firstLineChars="197" w:firstLine="633"/>
        <w:rPr>
          <w:rFonts w:ascii="仿宋_GB2312" w:eastAsia="仿宋_GB2312" w:hAnsi="仿宋"/>
          <w:sz w:val="32"/>
          <w:szCs w:val="32"/>
        </w:rPr>
      </w:pPr>
      <w:r w:rsidRPr="00D652DD">
        <w:rPr>
          <w:rFonts w:ascii="仿宋_GB2312" w:eastAsia="仿宋_GB2312" w:hAnsi="仿宋" w:hint="eastAsia"/>
          <w:b/>
          <w:sz w:val="32"/>
          <w:szCs w:val="32"/>
        </w:rPr>
        <w:lastRenderedPageBreak/>
        <w:t xml:space="preserve">第五条 </w:t>
      </w:r>
      <w:r w:rsidRPr="00D652DD">
        <w:rPr>
          <w:rFonts w:ascii="仿宋_GB2312" w:eastAsia="仿宋_GB2312" w:hAnsi="仿宋" w:hint="eastAsia"/>
          <w:sz w:val="32"/>
          <w:szCs w:val="32"/>
        </w:rPr>
        <w:t>各级财政部门负责预算安排、审核资金分配建议方案和下达资金，指导各级乡村振兴、发展改革、民委、农业农村、林草等行业主管部门（以下简称行业主管部门）及地方加强资金监管和绩效管理。</w:t>
      </w:r>
      <w:proofErr w:type="gramStart"/>
      <w:r w:rsidRPr="00D652DD">
        <w:rPr>
          <w:rFonts w:ascii="仿宋_GB2312" w:eastAsia="仿宋_GB2312" w:hAnsi="仿宋" w:hint="eastAsia"/>
          <w:sz w:val="32"/>
          <w:szCs w:val="32"/>
        </w:rPr>
        <w:t>各级行业</w:t>
      </w:r>
      <w:proofErr w:type="gramEnd"/>
      <w:r w:rsidRPr="00D652DD">
        <w:rPr>
          <w:rFonts w:ascii="仿宋_GB2312" w:eastAsia="仿宋_GB2312" w:hAnsi="仿宋" w:hint="eastAsia"/>
          <w:sz w:val="32"/>
          <w:szCs w:val="32"/>
        </w:rPr>
        <w:t>主管部门负责提出资金分配建议方案、资金和项目使用管理、绩效管理、监督管理等工作，按照权责对等原则落实监管责任。</w:t>
      </w:r>
    </w:p>
    <w:p w:rsidR="008026C7" w:rsidRPr="00D652DD" w:rsidRDefault="008026C7" w:rsidP="00D652DD">
      <w:pPr>
        <w:spacing w:line="560" w:lineRule="exact"/>
        <w:ind w:firstLineChars="197" w:firstLine="630"/>
        <w:rPr>
          <w:rFonts w:ascii="仿宋_GB2312" w:eastAsia="仿宋_GB2312" w:hAnsi="仿宋"/>
          <w:sz w:val="32"/>
          <w:szCs w:val="32"/>
        </w:rPr>
      </w:pPr>
      <w:r w:rsidRPr="00D652DD">
        <w:rPr>
          <w:rFonts w:ascii="仿宋_GB2312" w:eastAsia="仿宋_GB2312" w:hAnsi="仿宋" w:hint="eastAsia"/>
          <w:sz w:val="32"/>
          <w:szCs w:val="32"/>
        </w:rPr>
        <w:t>国家乡村振兴局、发展改革委、国家民委、农业农村部、林草局根据职责分工，于每年1月31日前提出当年衔接资金分配建议方案报送财政部。财政部于每年全国人民代表大会批准预算后30日内，根据预算管理要求、年度预算安排，结合行业主管部门资金分配建议方案研究确定分配方案，将衔接资金预算下达省级财政部门，并抄送财政部有关监管局。</w:t>
      </w:r>
    </w:p>
    <w:p w:rsidR="008026C7" w:rsidRPr="00D652DD" w:rsidRDefault="008026C7" w:rsidP="00D652DD">
      <w:pPr>
        <w:spacing w:line="560" w:lineRule="exact"/>
        <w:ind w:firstLineChars="197" w:firstLine="633"/>
        <w:rPr>
          <w:rFonts w:ascii="仿宋_GB2312" w:eastAsia="仿宋_GB2312" w:hAnsi="仿宋"/>
          <w:sz w:val="32"/>
          <w:szCs w:val="32"/>
        </w:rPr>
      </w:pPr>
      <w:r w:rsidRPr="00D652DD">
        <w:rPr>
          <w:rFonts w:ascii="仿宋_GB2312" w:eastAsia="仿宋_GB2312" w:hAnsi="仿宋" w:hint="eastAsia"/>
          <w:b/>
          <w:sz w:val="32"/>
          <w:szCs w:val="32"/>
        </w:rPr>
        <w:t xml:space="preserve">第六条 </w:t>
      </w:r>
      <w:r w:rsidRPr="00D652DD">
        <w:rPr>
          <w:rFonts w:ascii="仿宋_GB2312" w:eastAsia="仿宋_GB2312" w:hint="eastAsia"/>
          <w:sz w:val="32"/>
          <w:szCs w:val="32"/>
        </w:rPr>
        <w:t>财政部有关监管局按照工作职责和财政部要求，对衔接资金使用管理情况</w:t>
      </w:r>
      <w:r w:rsidRPr="00D652DD">
        <w:rPr>
          <w:rFonts w:ascii="仿宋_GB2312" w:eastAsia="仿宋_GB2312" w:hAnsi="仿宋" w:cs="宋体" w:hint="eastAsia"/>
          <w:sz w:val="32"/>
          <w:szCs w:val="32"/>
        </w:rPr>
        <w:t>开展监管。</w:t>
      </w:r>
      <w:r w:rsidRPr="00D652DD">
        <w:rPr>
          <w:rFonts w:ascii="仿宋_GB2312" w:eastAsia="仿宋_GB2312" w:hAnsi="仿宋" w:hint="eastAsia"/>
          <w:sz w:val="32"/>
          <w:szCs w:val="32"/>
        </w:rPr>
        <w:t>各级财政和行业主管部门按要求配合审计、纪检监察、检察机关做好衔接资金和项目的审计、检查等工作。</w:t>
      </w:r>
    </w:p>
    <w:p w:rsidR="008026C7" w:rsidRPr="00D652DD" w:rsidRDefault="008026C7" w:rsidP="008026C7">
      <w:pPr>
        <w:adjustRightInd w:val="0"/>
        <w:snapToGrid w:val="0"/>
        <w:spacing w:line="560" w:lineRule="exact"/>
        <w:ind w:firstLine="645"/>
        <w:rPr>
          <w:rFonts w:ascii="仿宋_GB2312" w:eastAsia="仿宋_GB2312" w:hAnsi="仿宋" w:cs="华文仿宋"/>
          <w:sz w:val="32"/>
          <w:szCs w:val="32"/>
        </w:rPr>
      </w:pPr>
      <w:r w:rsidRPr="00D652DD">
        <w:rPr>
          <w:rFonts w:ascii="仿宋_GB2312" w:eastAsia="仿宋_GB2312" w:hAnsi="仿宋" w:hint="eastAsia"/>
          <w:sz w:val="32"/>
          <w:szCs w:val="32"/>
        </w:rPr>
        <w:t>各级财政和行业主管部门及其工作人员在衔接资金分配、使用管理等工作中，存在违反本办法规定，以及</w:t>
      </w:r>
      <w:r w:rsidRPr="00D652DD">
        <w:rPr>
          <w:rFonts w:ascii="仿宋_GB2312" w:eastAsia="仿宋_GB2312" w:hAnsi="仿宋" w:cs="华文仿宋" w:hint="eastAsia"/>
          <w:sz w:val="32"/>
          <w:szCs w:val="32"/>
        </w:rPr>
        <w:t>滥用职权、玩忽职守、徇私舞弊</w:t>
      </w:r>
      <w:r w:rsidRPr="00D652DD">
        <w:rPr>
          <w:rFonts w:ascii="仿宋_GB2312" w:eastAsia="仿宋_GB2312" w:hAnsi="仿宋" w:hint="eastAsia"/>
          <w:sz w:val="32"/>
          <w:szCs w:val="32"/>
        </w:rPr>
        <w:t>等违法违纪行为的，按照</w:t>
      </w:r>
      <w:r w:rsidRPr="00D652DD">
        <w:rPr>
          <w:rFonts w:ascii="仿宋_GB2312" w:eastAsia="仿宋_GB2312" w:hAnsi="仿宋" w:cs="华文仿宋" w:hint="eastAsia"/>
          <w:sz w:val="32"/>
          <w:szCs w:val="32"/>
        </w:rPr>
        <w:t>国家有关规定追究相应责任；涉嫌犯罪的，移送有关国家机关处理。</w:t>
      </w:r>
    </w:p>
    <w:p w:rsidR="008026C7" w:rsidRPr="00D652DD" w:rsidRDefault="008026C7" w:rsidP="00D652DD">
      <w:pPr>
        <w:snapToGrid w:val="0"/>
        <w:spacing w:line="560" w:lineRule="exact"/>
        <w:ind w:firstLineChars="197" w:firstLine="633"/>
        <w:rPr>
          <w:rFonts w:ascii="仿宋_GB2312" w:eastAsia="仿宋_GB2312" w:hAnsi="仿宋"/>
          <w:sz w:val="32"/>
          <w:szCs w:val="32"/>
        </w:rPr>
      </w:pPr>
      <w:r w:rsidRPr="00D652DD">
        <w:rPr>
          <w:rFonts w:ascii="仿宋_GB2312" w:eastAsia="仿宋_GB2312" w:hAnsi="仿宋" w:hint="eastAsia"/>
          <w:b/>
          <w:sz w:val="32"/>
          <w:szCs w:val="32"/>
        </w:rPr>
        <w:t xml:space="preserve">第七条 </w:t>
      </w:r>
      <w:r w:rsidRPr="00D652DD">
        <w:rPr>
          <w:rFonts w:ascii="仿宋_GB2312" w:eastAsia="仿宋_GB2312" w:hAnsi="仿宋" w:hint="eastAsia"/>
          <w:sz w:val="32"/>
          <w:szCs w:val="32"/>
        </w:rPr>
        <w:t>省级财政部门要会同</w:t>
      </w:r>
      <w:proofErr w:type="gramStart"/>
      <w:r w:rsidRPr="00D652DD">
        <w:rPr>
          <w:rFonts w:ascii="仿宋_GB2312" w:eastAsia="仿宋_GB2312" w:hAnsi="仿宋" w:hint="eastAsia"/>
          <w:sz w:val="32"/>
          <w:szCs w:val="32"/>
        </w:rPr>
        <w:t>省级行业</w:t>
      </w:r>
      <w:proofErr w:type="gramEnd"/>
      <w:r w:rsidRPr="00D652DD">
        <w:rPr>
          <w:rFonts w:ascii="仿宋_GB2312" w:eastAsia="仿宋_GB2312" w:hAnsi="仿宋" w:hint="eastAsia"/>
          <w:sz w:val="32"/>
          <w:szCs w:val="32"/>
        </w:rPr>
        <w:t>主管部门，根据本办法制定</w:t>
      </w:r>
      <w:proofErr w:type="gramStart"/>
      <w:r w:rsidRPr="00D652DD">
        <w:rPr>
          <w:rFonts w:ascii="仿宋_GB2312" w:eastAsia="仿宋_GB2312" w:hAnsi="仿宋" w:hint="eastAsia"/>
          <w:sz w:val="32"/>
          <w:szCs w:val="32"/>
        </w:rPr>
        <w:t>具体资金</w:t>
      </w:r>
      <w:proofErr w:type="gramEnd"/>
      <w:r w:rsidRPr="00D652DD">
        <w:rPr>
          <w:rFonts w:ascii="仿宋_GB2312" w:eastAsia="仿宋_GB2312" w:hAnsi="仿宋" w:hint="eastAsia"/>
          <w:sz w:val="32"/>
          <w:szCs w:val="32"/>
        </w:rPr>
        <w:t>管理办法。各级财政部门要根据巩固拓展脱贫攻坚成果同乡村振兴有效衔接的任务需要及财力情况，每年预算安排一定规模的本级衔接资金，保持投入力度总体稳定。</w:t>
      </w:r>
    </w:p>
    <w:p w:rsidR="008026C7" w:rsidRPr="00D652DD" w:rsidRDefault="008026C7" w:rsidP="00D652DD">
      <w:pPr>
        <w:spacing w:line="560" w:lineRule="exact"/>
        <w:ind w:firstLineChars="179" w:firstLine="575"/>
        <w:rPr>
          <w:rFonts w:ascii="仿宋_GB2312" w:eastAsia="仿宋_GB2312"/>
          <w:sz w:val="32"/>
          <w:szCs w:val="32"/>
        </w:rPr>
      </w:pPr>
      <w:r w:rsidRPr="00D652DD">
        <w:rPr>
          <w:rFonts w:ascii="仿宋_GB2312" w:eastAsia="仿宋_GB2312" w:hAnsi="仿宋" w:hint="eastAsia"/>
          <w:b/>
          <w:sz w:val="32"/>
          <w:szCs w:val="32"/>
        </w:rPr>
        <w:t xml:space="preserve">第八条 </w:t>
      </w:r>
      <w:r w:rsidRPr="00D652DD">
        <w:rPr>
          <w:rFonts w:ascii="仿宋_GB2312" w:eastAsia="仿宋_GB2312" w:hAnsi="仿宋" w:hint="eastAsia"/>
          <w:sz w:val="32"/>
          <w:szCs w:val="32"/>
        </w:rPr>
        <w:t>本办法自2021年3月31日起施行，由财政部会同</w:t>
      </w:r>
      <w:r w:rsidRPr="00D652DD">
        <w:rPr>
          <w:rFonts w:ascii="仿宋_GB2312" w:eastAsia="仿宋_GB2312" w:hAnsi="仿宋" w:hint="eastAsia"/>
          <w:sz w:val="32"/>
          <w:szCs w:val="32"/>
        </w:rPr>
        <w:lastRenderedPageBreak/>
        <w:t>行业主管部门负责解释。</w:t>
      </w:r>
      <w:r w:rsidRPr="00D652DD">
        <w:rPr>
          <w:rFonts w:ascii="仿宋_GB2312" w:eastAsia="仿宋_GB2312" w:hint="eastAsia"/>
          <w:sz w:val="32"/>
          <w:szCs w:val="32"/>
        </w:rPr>
        <w:t>《财政部 扶贫办 国家发改委 国家民委 农业部 林业局关于印发&lt;中央财政专项扶贫资金管理办法&gt;的通知》（</w:t>
      </w:r>
      <w:proofErr w:type="gramStart"/>
      <w:r w:rsidRPr="00D652DD">
        <w:rPr>
          <w:rFonts w:ascii="仿宋_GB2312" w:eastAsia="仿宋_GB2312" w:hint="eastAsia"/>
          <w:sz w:val="32"/>
          <w:szCs w:val="32"/>
        </w:rPr>
        <w:t>财农〔2017〕</w:t>
      </w:r>
      <w:proofErr w:type="gramEnd"/>
      <w:r w:rsidRPr="00D652DD">
        <w:rPr>
          <w:rFonts w:ascii="仿宋_GB2312" w:eastAsia="仿宋_GB2312" w:hint="eastAsia"/>
          <w:sz w:val="32"/>
          <w:szCs w:val="32"/>
        </w:rPr>
        <w:t>8号）</w:t>
      </w:r>
      <w:r w:rsidRPr="00D652DD">
        <w:rPr>
          <w:rFonts w:ascii="仿宋_GB2312" w:eastAsia="仿宋_GB2312" w:hAnsi="仿宋" w:hint="eastAsia"/>
          <w:sz w:val="32"/>
          <w:szCs w:val="32"/>
        </w:rPr>
        <w:t>和《财政部 国家林业局关于印发&lt;国有贫困林场扶贫资金管理办法&gt;的通知》（</w:t>
      </w:r>
      <w:proofErr w:type="gramStart"/>
      <w:r w:rsidRPr="00D652DD">
        <w:rPr>
          <w:rFonts w:ascii="仿宋_GB2312" w:eastAsia="仿宋_GB2312" w:hAnsi="仿宋" w:hint="eastAsia"/>
          <w:sz w:val="32"/>
          <w:szCs w:val="32"/>
        </w:rPr>
        <w:t>财农〔2005〕</w:t>
      </w:r>
      <w:proofErr w:type="gramEnd"/>
      <w:r w:rsidRPr="00D652DD">
        <w:rPr>
          <w:rFonts w:ascii="仿宋_GB2312" w:eastAsia="仿宋_GB2312" w:hAnsi="仿宋" w:hint="eastAsia"/>
          <w:sz w:val="32"/>
          <w:szCs w:val="32"/>
        </w:rPr>
        <w:t>104号）、《</w:t>
      </w:r>
      <w:r w:rsidRPr="00D652DD">
        <w:rPr>
          <w:rFonts w:ascii="仿宋_GB2312" w:eastAsia="仿宋_GB2312" w:hAnsi="Arial" w:hint="eastAsia"/>
          <w:sz w:val="32"/>
          <w:szCs w:val="32"/>
        </w:rPr>
        <w:t>财政部 国务院扶贫办关于印发&lt;“三西”农业建设专项补助资金使用管理办法（修订稿）&gt;的通知</w:t>
      </w:r>
      <w:r w:rsidRPr="00D652DD">
        <w:rPr>
          <w:rFonts w:ascii="仿宋_GB2312" w:eastAsia="仿宋_GB2312" w:hAnsi="仿宋" w:hint="eastAsia"/>
          <w:sz w:val="32"/>
          <w:szCs w:val="32"/>
        </w:rPr>
        <w:t>》（</w:t>
      </w:r>
      <w:proofErr w:type="gramStart"/>
      <w:r w:rsidRPr="00D652DD">
        <w:rPr>
          <w:rFonts w:ascii="仿宋_GB2312" w:eastAsia="仿宋_GB2312" w:hAnsi="仿宋" w:hint="eastAsia"/>
          <w:sz w:val="32"/>
          <w:szCs w:val="32"/>
        </w:rPr>
        <w:t>财农〔2006〕</w:t>
      </w:r>
      <w:proofErr w:type="gramEnd"/>
      <w:r w:rsidRPr="00D652DD">
        <w:rPr>
          <w:rFonts w:ascii="仿宋_GB2312" w:eastAsia="仿宋_GB2312" w:hAnsi="仿宋" w:hint="eastAsia"/>
          <w:sz w:val="32"/>
          <w:szCs w:val="32"/>
        </w:rPr>
        <w:t>356号）、《财政部 国家民委关于印发&lt;少数民族发展资金管理办法&gt;的通知》（</w:t>
      </w:r>
      <w:proofErr w:type="gramStart"/>
      <w:r w:rsidRPr="00D652DD">
        <w:rPr>
          <w:rFonts w:ascii="仿宋_GB2312" w:eastAsia="仿宋_GB2312" w:hAnsi="仿宋" w:hint="eastAsia"/>
          <w:sz w:val="32"/>
          <w:szCs w:val="32"/>
        </w:rPr>
        <w:t>财农〔2006〕</w:t>
      </w:r>
      <w:proofErr w:type="gramEnd"/>
      <w:r w:rsidRPr="00D652DD">
        <w:rPr>
          <w:rFonts w:ascii="仿宋_GB2312" w:eastAsia="仿宋_GB2312" w:hAnsi="仿宋" w:hint="eastAsia"/>
          <w:sz w:val="32"/>
          <w:szCs w:val="32"/>
        </w:rPr>
        <w:t>18号）、《财政部 农业部关于印发&lt;国有贫困农场财政扶贫资金管理暂行办法&gt;的通知》（</w:t>
      </w:r>
      <w:proofErr w:type="gramStart"/>
      <w:r w:rsidRPr="00D652DD">
        <w:rPr>
          <w:rFonts w:ascii="仿宋_GB2312" w:eastAsia="仿宋_GB2312" w:hAnsi="仿宋" w:hint="eastAsia"/>
          <w:sz w:val="32"/>
          <w:szCs w:val="32"/>
        </w:rPr>
        <w:t>财农〔2007〕</w:t>
      </w:r>
      <w:proofErr w:type="gramEnd"/>
      <w:r w:rsidRPr="00D652DD">
        <w:rPr>
          <w:rFonts w:ascii="仿宋_GB2312" w:eastAsia="仿宋_GB2312" w:hAnsi="仿宋" w:hint="eastAsia"/>
          <w:sz w:val="32"/>
          <w:szCs w:val="32"/>
        </w:rPr>
        <w:t>347号）同时废止。</w:t>
      </w:r>
    </w:p>
    <w:p w:rsidR="008026C7" w:rsidRPr="00D652DD" w:rsidRDefault="008026C7" w:rsidP="00D652DD">
      <w:pPr>
        <w:spacing w:line="560" w:lineRule="exact"/>
        <w:ind w:firstLineChars="200" w:firstLine="640"/>
        <w:rPr>
          <w:rFonts w:ascii="仿宋_GB2312" w:eastAsia="仿宋_GB2312"/>
          <w:sz w:val="32"/>
          <w:szCs w:val="32"/>
        </w:rPr>
      </w:pPr>
    </w:p>
    <w:p w:rsidR="008026C7" w:rsidRDefault="008026C7" w:rsidP="00D652DD">
      <w:pPr>
        <w:spacing w:line="560" w:lineRule="exact"/>
        <w:ind w:firstLineChars="200" w:firstLine="640"/>
        <w:rPr>
          <w:rFonts w:ascii="仿宋_GB2312" w:eastAsia="仿宋_GB2312" w:hint="eastAsia"/>
          <w:sz w:val="32"/>
          <w:szCs w:val="32"/>
        </w:rPr>
      </w:pPr>
      <w:r w:rsidRPr="00D652DD">
        <w:rPr>
          <w:rFonts w:ascii="仿宋_GB2312" w:eastAsia="仿宋_GB2312" w:hint="eastAsia"/>
          <w:sz w:val="32"/>
          <w:szCs w:val="32"/>
        </w:rPr>
        <w:t>附：5项任务具体测算指标</w:t>
      </w:r>
    </w:p>
    <w:p w:rsidR="00083C8B" w:rsidRPr="00083C8B" w:rsidRDefault="00083C8B" w:rsidP="00D652DD">
      <w:pPr>
        <w:spacing w:line="560" w:lineRule="exact"/>
        <w:ind w:firstLineChars="200" w:firstLine="640"/>
        <w:rPr>
          <w:rFonts w:ascii="仿宋_GB2312" w:eastAsia="仿宋_GB2312"/>
          <w:sz w:val="32"/>
          <w:szCs w:val="32"/>
        </w:rPr>
      </w:pPr>
    </w:p>
    <w:p w:rsidR="00083C8B" w:rsidRDefault="00083C8B">
      <w:pPr>
        <w:rPr>
          <w:rFonts w:ascii="仿宋_GB2312" w:eastAsia="仿宋_GB2312"/>
          <w:sz w:val="32"/>
          <w:szCs w:val="32"/>
        </w:rPr>
        <w:sectPr w:rsidR="00083C8B" w:rsidSect="00D652DD">
          <w:pgSz w:w="11906" w:h="16838" w:code="9"/>
          <w:pgMar w:top="1418" w:right="1588" w:bottom="1418" w:left="1588" w:header="851" w:footer="992" w:gutter="0"/>
          <w:cols w:space="425"/>
          <w:docGrid w:type="lines" w:linePitch="312"/>
        </w:sectPr>
      </w:pPr>
    </w:p>
    <w:tbl>
      <w:tblPr>
        <w:tblW w:w="0" w:type="auto"/>
        <w:tblInd w:w="89" w:type="dxa"/>
        <w:tblLayout w:type="fixed"/>
        <w:tblLook w:val="04A0"/>
      </w:tblPr>
      <w:tblGrid>
        <w:gridCol w:w="437"/>
        <w:gridCol w:w="2097"/>
        <w:gridCol w:w="3203"/>
        <w:gridCol w:w="2079"/>
        <w:gridCol w:w="3260"/>
        <w:gridCol w:w="3053"/>
      </w:tblGrid>
      <w:tr w:rsidR="00083C8B" w:rsidRPr="00083C8B" w:rsidTr="00083C8B">
        <w:trPr>
          <w:trHeight w:val="1163"/>
        </w:trPr>
        <w:tc>
          <w:tcPr>
            <w:tcW w:w="14129" w:type="dxa"/>
            <w:gridSpan w:val="6"/>
            <w:tcBorders>
              <w:top w:val="nil"/>
              <w:left w:val="nil"/>
              <w:bottom w:val="single" w:sz="4" w:space="0" w:color="auto"/>
              <w:right w:val="nil"/>
            </w:tcBorders>
            <w:shd w:val="clear" w:color="auto" w:fill="auto"/>
            <w:noWrap/>
            <w:vAlign w:val="center"/>
            <w:hideMark/>
          </w:tcPr>
          <w:p w:rsidR="00083C8B" w:rsidRPr="00083C8B" w:rsidRDefault="00083C8B" w:rsidP="00083C8B">
            <w:pPr>
              <w:widowControl/>
              <w:jc w:val="center"/>
              <w:rPr>
                <w:rFonts w:ascii="宋体" w:eastAsia="宋体" w:hAnsi="宋体" w:cs="宋体"/>
                <w:b/>
                <w:bCs/>
                <w:color w:val="000000"/>
                <w:kern w:val="0"/>
                <w:sz w:val="44"/>
                <w:szCs w:val="44"/>
              </w:rPr>
            </w:pPr>
            <w:r w:rsidRPr="00083C8B">
              <w:rPr>
                <w:rFonts w:ascii="宋体" w:eastAsia="宋体" w:hAnsi="宋体" w:cs="宋体" w:hint="eastAsia"/>
                <w:b/>
                <w:bCs/>
                <w:color w:val="000000"/>
                <w:kern w:val="0"/>
                <w:sz w:val="44"/>
                <w:szCs w:val="44"/>
              </w:rPr>
              <w:lastRenderedPageBreak/>
              <w:t>5项任务具体测算指标</w:t>
            </w:r>
          </w:p>
        </w:tc>
      </w:tr>
      <w:tr w:rsidR="00083C8B" w:rsidRPr="00083C8B" w:rsidTr="00083C8B">
        <w:trPr>
          <w:trHeight w:val="1260"/>
        </w:trPr>
        <w:tc>
          <w:tcPr>
            <w:tcW w:w="437" w:type="dxa"/>
            <w:tcBorders>
              <w:top w:val="nil"/>
              <w:left w:val="single" w:sz="4" w:space="0" w:color="auto"/>
              <w:bottom w:val="single" w:sz="4" w:space="0" w:color="auto"/>
              <w:right w:val="single" w:sz="4" w:space="0" w:color="auto"/>
            </w:tcBorders>
            <w:shd w:val="clear" w:color="auto" w:fill="auto"/>
            <w:noWrap/>
            <w:vAlign w:val="center"/>
            <w:hideMark/>
          </w:tcPr>
          <w:p w:rsidR="00083C8B" w:rsidRPr="00083C8B" w:rsidRDefault="00083C8B" w:rsidP="00083C8B">
            <w:pPr>
              <w:widowControl/>
              <w:jc w:val="center"/>
              <w:rPr>
                <w:rFonts w:ascii="宋体" w:eastAsia="宋体" w:hAnsi="宋体" w:cs="宋体"/>
                <w:b/>
                <w:bCs/>
                <w:color w:val="000000"/>
                <w:kern w:val="0"/>
                <w:sz w:val="20"/>
                <w:szCs w:val="20"/>
              </w:rPr>
            </w:pPr>
            <w:r w:rsidRPr="00083C8B">
              <w:rPr>
                <w:rFonts w:ascii="宋体" w:eastAsia="宋体" w:hAnsi="宋体" w:cs="宋体" w:hint="eastAsia"/>
                <w:b/>
                <w:bCs/>
                <w:color w:val="000000"/>
                <w:kern w:val="0"/>
                <w:sz w:val="20"/>
                <w:szCs w:val="20"/>
              </w:rPr>
              <w:t>序号</w:t>
            </w:r>
          </w:p>
        </w:tc>
        <w:tc>
          <w:tcPr>
            <w:tcW w:w="2097" w:type="dxa"/>
            <w:tcBorders>
              <w:top w:val="nil"/>
              <w:left w:val="nil"/>
              <w:bottom w:val="single" w:sz="4" w:space="0" w:color="auto"/>
              <w:right w:val="single" w:sz="4" w:space="0" w:color="auto"/>
            </w:tcBorders>
            <w:shd w:val="clear" w:color="auto" w:fill="auto"/>
            <w:noWrap/>
            <w:vAlign w:val="center"/>
            <w:hideMark/>
          </w:tcPr>
          <w:p w:rsidR="00083C8B" w:rsidRPr="00083C8B" w:rsidRDefault="00083C8B" w:rsidP="00083C8B">
            <w:pPr>
              <w:widowControl/>
              <w:jc w:val="center"/>
              <w:rPr>
                <w:rFonts w:ascii="宋体" w:eastAsia="宋体" w:hAnsi="宋体" w:cs="宋体"/>
                <w:b/>
                <w:bCs/>
                <w:color w:val="000000"/>
                <w:kern w:val="0"/>
                <w:sz w:val="20"/>
                <w:szCs w:val="20"/>
              </w:rPr>
            </w:pPr>
            <w:r w:rsidRPr="00083C8B">
              <w:rPr>
                <w:rFonts w:ascii="宋体" w:eastAsia="宋体" w:hAnsi="宋体" w:cs="宋体" w:hint="eastAsia"/>
                <w:b/>
                <w:bCs/>
                <w:color w:val="000000"/>
                <w:kern w:val="0"/>
                <w:sz w:val="20"/>
                <w:szCs w:val="20"/>
              </w:rPr>
              <w:t>任务</w:t>
            </w:r>
          </w:p>
        </w:tc>
        <w:tc>
          <w:tcPr>
            <w:tcW w:w="3203" w:type="dxa"/>
            <w:tcBorders>
              <w:top w:val="nil"/>
              <w:left w:val="nil"/>
              <w:bottom w:val="single" w:sz="4" w:space="0" w:color="auto"/>
              <w:right w:val="single" w:sz="4" w:space="0" w:color="auto"/>
            </w:tcBorders>
            <w:shd w:val="clear" w:color="auto" w:fill="auto"/>
            <w:vAlign w:val="center"/>
            <w:hideMark/>
          </w:tcPr>
          <w:p w:rsidR="00083C8B" w:rsidRPr="00083C8B" w:rsidRDefault="00083C8B" w:rsidP="00083C8B">
            <w:pPr>
              <w:widowControl/>
              <w:jc w:val="center"/>
              <w:rPr>
                <w:rFonts w:ascii="宋体" w:eastAsia="宋体" w:hAnsi="宋体" w:cs="宋体"/>
                <w:b/>
                <w:bCs/>
                <w:color w:val="000000"/>
                <w:kern w:val="0"/>
                <w:sz w:val="20"/>
                <w:szCs w:val="20"/>
              </w:rPr>
            </w:pPr>
            <w:r w:rsidRPr="00083C8B">
              <w:rPr>
                <w:rFonts w:ascii="宋体" w:eastAsia="宋体" w:hAnsi="宋体" w:cs="宋体" w:hint="eastAsia"/>
                <w:b/>
                <w:bCs/>
                <w:color w:val="000000"/>
                <w:kern w:val="0"/>
                <w:sz w:val="20"/>
                <w:szCs w:val="20"/>
              </w:rPr>
              <w:t>因素1：相关人群数量及结构（权重30%）</w:t>
            </w:r>
          </w:p>
        </w:tc>
        <w:tc>
          <w:tcPr>
            <w:tcW w:w="2079" w:type="dxa"/>
            <w:tcBorders>
              <w:top w:val="nil"/>
              <w:left w:val="nil"/>
              <w:bottom w:val="single" w:sz="4" w:space="0" w:color="auto"/>
              <w:right w:val="single" w:sz="4" w:space="0" w:color="auto"/>
            </w:tcBorders>
            <w:shd w:val="clear" w:color="auto" w:fill="auto"/>
            <w:vAlign w:val="center"/>
            <w:hideMark/>
          </w:tcPr>
          <w:p w:rsidR="00083C8B" w:rsidRPr="00083C8B" w:rsidRDefault="00083C8B" w:rsidP="00083C8B">
            <w:pPr>
              <w:widowControl/>
              <w:jc w:val="center"/>
              <w:rPr>
                <w:rFonts w:ascii="宋体" w:eastAsia="宋体" w:hAnsi="宋体" w:cs="宋体"/>
                <w:b/>
                <w:bCs/>
                <w:color w:val="000000"/>
                <w:kern w:val="0"/>
                <w:sz w:val="20"/>
                <w:szCs w:val="20"/>
              </w:rPr>
            </w:pPr>
            <w:r w:rsidRPr="00083C8B">
              <w:rPr>
                <w:rFonts w:ascii="宋体" w:eastAsia="宋体" w:hAnsi="宋体" w:cs="宋体" w:hint="eastAsia"/>
                <w:b/>
                <w:bCs/>
                <w:color w:val="000000"/>
                <w:kern w:val="0"/>
                <w:sz w:val="20"/>
                <w:szCs w:val="20"/>
              </w:rPr>
              <w:t>因素2：相关人群收入（权重30%）</w:t>
            </w:r>
          </w:p>
        </w:tc>
        <w:tc>
          <w:tcPr>
            <w:tcW w:w="3260" w:type="dxa"/>
            <w:tcBorders>
              <w:top w:val="nil"/>
              <w:left w:val="nil"/>
              <w:bottom w:val="single" w:sz="4" w:space="0" w:color="auto"/>
              <w:right w:val="single" w:sz="4" w:space="0" w:color="auto"/>
            </w:tcBorders>
            <w:shd w:val="clear" w:color="auto" w:fill="auto"/>
            <w:vAlign w:val="center"/>
            <w:hideMark/>
          </w:tcPr>
          <w:p w:rsidR="00083C8B" w:rsidRPr="00083C8B" w:rsidRDefault="00083C8B" w:rsidP="00083C8B">
            <w:pPr>
              <w:widowControl/>
              <w:jc w:val="center"/>
              <w:rPr>
                <w:rFonts w:ascii="宋体" w:eastAsia="宋体" w:hAnsi="宋体" w:cs="宋体"/>
                <w:b/>
                <w:bCs/>
                <w:color w:val="000000"/>
                <w:kern w:val="0"/>
                <w:sz w:val="20"/>
                <w:szCs w:val="20"/>
              </w:rPr>
            </w:pPr>
            <w:r w:rsidRPr="00083C8B">
              <w:rPr>
                <w:rFonts w:ascii="宋体" w:eastAsia="宋体" w:hAnsi="宋体" w:cs="宋体" w:hint="eastAsia"/>
                <w:b/>
                <w:bCs/>
                <w:color w:val="000000"/>
                <w:kern w:val="0"/>
                <w:sz w:val="20"/>
                <w:szCs w:val="20"/>
              </w:rPr>
              <w:t>因素3：政策因素</w:t>
            </w:r>
            <w:r w:rsidRPr="00083C8B">
              <w:rPr>
                <w:rFonts w:ascii="宋体" w:eastAsia="宋体" w:hAnsi="宋体" w:cs="宋体" w:hint="eastAsia"/>
                <w:b/>
                <w:bCs/>
                <w:color w:val="000000"/>
                <w:kern w:val="0"/>
                <w:sz w:val="20"/>
                <w:szCs w:val="20"/>
              </w:rPr>
              <w:br/>
              <w:t>（权重30%）</w:t>
            </w:r>
          </w:p>
        </w:tc>
        <w:tc>
          <w:tcPr>
            <w:tcW w:w="3053" w:type="dxa"/>
            <w:tcBorders>
              <w:top w:val="nil"/>
              <w:left w:val="nil"/>
              <w:bottom w:val="single" w:sz="4" w:space="0" w:color="auto"/>
              <w:right w:val="single" w:sz="4" w:space="0" w:color="auto"/>
            </w:tcBorders>
            <w:shd w:val="clear" w:color="auto" w:fill="auto"/>
            <w:vAlign w:val="center"/>
            <w:hideMark/>
          </w:tcPr>
          <w:p w:rsidR="00083C8B" w:rsidRPr="00083C8B" w:rsidRDefault="00083C8B" w:rsidP="00083C8B">
            <w:pPr>
              <w:widowControl/>
              <w:jc w:val="center"/>
              <w:rPr>
                <w:rFonts w:ascii="宋体" w:eastAsia="宋体" w:hAnsi="宋体" w:cs="宋体"/>
                <w:b/>
                <w:bCs/>
                <w:color w:val="000000"/>
                <w:kern w:val="0"/>
                <w:sz w:val="20"/>
                <w:szCs w:val="20"/>
              </w:rPr>
            </w:pPr>
            <w:r w:rsidRPr="00083C8B">
              <w:rPr>
                <w:rFonts w:ascii="宋体" w:eastAsia="宋体" w:hAnsi="宋体" w:cs="宋体" w:hint="eastAsia"/>
                <w:b/>
                <w:bCs/>
                <w:color w:val="000000"/>
                <w:kern w:val="0"/>
                <w:sz w:val="20"/>
                <w:szCs w:val="20"/>
              </w:rPr>
              <w:t>绩效等考核结果（权重10%）</w:t>
            </w:r>
          </w:p>
        </w:tc>
      </w:tr>
      <w:tr w:rsidR="00083C8B" w:rsidRPr="00083C8B" w:rsidTr="00083C8B">
        <w:trPr>
          <w:trHeight w:val="1107"/>
        </w:trPr>
        <w:tc>
          <w:tcPr>
            <w:tcW w:w="437" w:type="dxa"/>
            <w:tcBorders>
              <w:top w:val="nil"/>
              <w:left w:val="single" w:sz="4" w:space="0" w:color="auto"/>
              <w:bottom w:val="single" w:sz="4" w:space="0" w:color="auto"/>
              <w:right w:val="single" w:sz="4" w:space="0" w:color="auto"/>
            </w:tcBorders>
            <w:shd w:val="clear" w:color="auto" w:fill="auto"/>
            <w:noWrap/>
            <w:vAlign w:val="center"/>
            <w:hideMark/>
          </w:tcPr>
          <w:p w:rsidR="00083C8B" w:rsidRPr="00083C8B" w:rsidRDefault="00083C8B" w:rsidP="00083C8B">
            <w:pPr>
              <w:widowControl/>
              <w:jc w:val="center"/>
              <w:rPr>
                <w:rFonts w:ascii="仿宋_GB2312" w:eastAsia="仿宋_GB2312" w:hAnsi="宋体" w:cs="宋体"/>
                <w:color w:val="000000"/>
                <w:kern w:val="0"/>
                <w:sz w:val="20"/>
                <w:szCs w:val="20"/>
              </w:rPr>
            </w:pPr>
            <w:r w:rsidRPr="00083C8B">
              <w:rPr>
                <w:rFonts w:ascii="仿宋_GB2312" w:eastAsia="仿宋_GB2312" w:hAnsi="宋体" w:cs="宋体" w:hint="eastAsia"/>
                <w:color w:val="000000"/>
                <w:kern w:val="0"/>
                <w:sz w:val="20"/>
                <w:szCs w:val="20"/>
              </w:rPr>
              <w:t>1</w:t>
            </w:r>
          </w:p>
        </w:tc>
        <w:tc>
          <w:tcPr>
            <w:tcW w:w="2097" w:type="dxa"/>
            <w:tcBorders>
              <w:top w:val="nil"/>
              <w:left w:val="nil"/>
              <w:bottom w:val="single" w:sz="4" w:space="0" w:color="auto"/>
              <w:right w:val="single" w:sz="4" w:space="0" w:color="auto"/>
            </w:tcBorders>
            <w:shd w:val="clear" w:color="auto" w:fill="auto"/>
            <w:noWrap/>
            <w:vAlign w:val="center"/>
            <w:hideMark/>
          </w:tcPr>
          <w:p w:rsidR="00083C8B" w:rsidRPr="00083C8B" w:rsidRDefault="00083C8B" w:rsidP="00083C8B">
            <w:pPr>
              <w:widowControl/>
              <w:rPr>
                <w:rFonts w:ascii="仿宋_GB2312" w:eastAsia="仿宋_GB2312" w:hAnsi="宋体" w:cs="宋体"/>
                <w:color w:val="000000"/>
                <w:kern w:val="0"/>
                <w:sz w:val="20"/>
                <w:szCs w:val="20"/>
              </w:rPr>
            </w:pPr>
            <w:r w:rsidRPr="00083C8B">
              <w:rPr>
                <w:rFonts w:ascii="仿宋_GB2312" w:eastAsia="仿宋_GB2312" w:hAnsi="宋体" w:cs="宋体" w:hint="eastAsia"/>
                <w:color w:val="000000"/>
                <w:kern w:val="0"/>
                <w:sz w:val="20"/>
                <w:szCs w:val="20"/>
              </w:rPr>
              <w:t>巩固拓展脱贫攻坚成果和乡村振兴任务</w:t>
            </w:r>
          </w:p>
        </w:tc>
        <w:tc>
          <w:tcPr>
            <w:tcW w:w="3203" w:type="dxa"/>
            <w:tcBorders>
              <w:top w:val="nil"/>
              <w:left w:val="nil"/>
              <w:bottom w:val="single" w:sz="4" w:space="0" w:color="auto"/>
              <w:right w:val="single" w:sz="4" w:space="0" w:color="auto"/>
            </w:tcBorders>
            <w:shd w:val="clear" w:color="auto" w:fill="auto"/>
            <w:noWrap/>
            <w:vAlign w:val="center"/>
            <w:hideMark/>
          </w:tcPr>
          <w:p w:rsidR="00083C8B" w:rsidRPr="00083C8B" w:rsidRDefault="00083C8B" w:rsidP="00083C8B">
            <w:pPr>
              <w:widowControl/>
              <w:rPr>
                <w:rFonts w:ascii="仿宋_GB2312" w:eastAsia="仿宋_GB2312" w:hAnsi="宋体" w:cs="宋体"/>
                <w:color w:val="000000"/>
                <w:kern w:val="0"/>
                <w:sz w:val="20"/>
                <w:szCs w:val="20"/>
              </w:rPr>
            </w:pPr>
            <w:r w:rsidRPr="00083C8B">
              <w:rPr>
                <w:rFonts w:ascii="仿宋_GB2312" w:eastAsia="仿宋_GB2312" w:hAnsi="宋体" w:cs="宋体" w:hint="eastAsia"/>
                <w:color w:val="000000"/>
                <w:kern w:val="0"/>
                <w:sz w:val="20"/>
                <w:szCs w:val="20"/>
              </w:rPr>
              <w:t>脱贫人口、边缘易致贫人口及结构</w:t>
            </w:r>
          </w:p>
        </w:tc>
        <w:tc>
          <w:tcPr>
            <w:tcW w:w="2079" w:type="dxa"/>
            <w:tcBorders>
              <w:top w:val="nil"/>
              <w:left w:val="nil"/>
              <w:bottom w:val="single" w:sz="4" w:space="0" w:color="auto"/>
              <w:right w:val="single" w:sz="4" w:space="0" w:color="auto"/>
            </w:tcBorders>
            <w:shd w:val="clear" w:color="auto" w:fill="auto"/>
            <w:noWrap/>
            <w:vAlign w:val="center"/>
            <w:hideMark/>
          </w:tcPr>
          <w:p w:rsidR="00083C8B" w:rsidRPr="00083C8B" w:rsidRDefault="00083C8B" w:rsidP="00083C8B">
            <w:pPr>
              <w:widowControl/>
              <w:rPr>
                <w:rFonts w:ascii="仿宋_GB2312" w:eastAsia="仿宋_GB2312" w:hAnsi="宋体" w:cs="宋体"/>
                <w:color w:val="000000"/>
                <w:kern w:val="0"/>
                <w:sz w:val="20"/>
                <w:szCs w:val="20"/>
              </w:rPr>
            </w:pPr>
            <w:r w:rsidRPr="00083C8B">
              <w:rPr>
                <w:rFonts w:ascii="仿宋_GB2312" w:eastAsia="仿宋_GB2312" w:hAnsi="宋体" w:cs="宋体" w:hint="eastAsia"/>
                <w:color w:val="000000"/>
                <w:kern w:val="0"/>
                <w:sz w:val="20"/>
                <w:szCs w:val="20"/>
              </w:rPr>
              <w:t>农村居民人均可支配收入</w:t>
            </w:r>
          </w:p>
        </w:tc>
        <w:tc>
          <w:tcPr>
            <w:tcW w:w="3260" w:type="dxa"/>
            <w:tcBorders>
              <w:top w:val="nil"/>
              <w:left w:val="nil"/>
              <w:bottom w:val="single" w:sz="4" w:space="0" w:color="auto"/>
              <w:right w:val="single" w:sz="4" w:space="0" w:color="auto"/>
            </w:tcBorders>
            <w:shd w:val="clear" w:color="auto" w:fill="auto"/>
            <w:noWrap/>
            <w:vAlign w:val="center"/>
            <w:hideMark/>
          </w:tcPr>
          <w:p w:rsidR="00083C8B" w:rsidRPr="00083C8B" w:rsidRDefault="00083C8B" w:rsidP="00083C8B">
            <w:pPr>
              <w:widowControl/>
              <w:rPr>
                <w:rFonts w:ascii="仿宋_GB2312" w:eastAsia="仿宋_GB2312" w:hAnsi="宋体" w:cs="宋体"/>
                <w:color w:val="000000"/>
                <w:kern w:val="0"/>
                <w:sz w:val="20"/>
                <w:szCs w:val="20"/>
              </w:rPr>
            </w:pPr>
            <w:r w:rsidRPr="00083C8B">
              <w:rPr>
                <w:rFonts w:ascii="仿宋_GB2312" w:eastAsia="仿宋_GB2312" w:hAnsi="宋体" w:cs="宋体" w:hint="eastAsia"/>
                <w:color w:val="000000"/>
                <w:kern w:val="0"/>
                <w:sz w:val="20"/>
                <w:szCs w:val="20"/>
              </w:rPr>
              <w:t>党中央国务院巩固拓展脱贫攻坚成果同乡村振兴有效衔接重点工作等政策任务、受灾因素等</w:t>
            </w:r>
          </w:p>
        </w:tc>
        <w:tc>
          <w:tcPr>
            <w:tcW w:w="3053" w:type="dxa"/>
            <w:tcBorders>
              <w:top w:val="nil"/>
              <w:left w:val="nil"/>
              <w:bottom w:val="single" w:sz="4" w:space="0" w:color="auto"/>
              <w:right w:val="single" w:sz="4" w:space="0" w:color="auto"/>
            </w:tcBorders>
            <w:shd w:val="clear" w:color="auto" w:fill="auto"/>
            <w:noWrap/>
            <w:vAlign w:val="center"/>
            <w:hideMark/>
          </w:tcPr>
          <w:p w:rsidR="00083C8B" w:rsidRPr="00083C8B" w:rsidRDefault="00083C8B" w:rsidP="00083C8B">
            <w:pPr>
              <w:widowControl/>
              <w:rPr>
                <w:rFonts w:ascii="仿宋_GB2312" w:eastAsia="仿宋_GB2312" w:hAnsi="宋体" w:cs="宋体"/>
                <w:color w:val="000000"/>
                <w:kern w:val="0"/>
                <w:sz w:val="20"/>
                <w:szCs w:val="20"/>
              </w:rPr>
            </w:pPr>
            <w:r w:rsidRPr="00083C8B">
              <w:rPr>
                <w:rFonts w:ascii="仿宋_GB2312" w:eastAsia="仿宋_GB2312" w:hAnsi="宋体" w:cs="宋体" w:hint="eastAsia"/>
                <w:color w:val="000000"/>
                <w:kern w:val="0"/>
                <w:sz w:val="20"/>
                <w:szCs w:val="20"/>
              </w:rPr>
              <w:t>根据年度资金绩效评价及相关考核结果确定</w:t>
            </w:r>
          </w:p>
        </w:tc>
      </w:tr>
      <w:tr w:rsidR="00083C8B" w:rsidRPr="00083C8B" w:rsidTr="00083C8B">
        <w:trPr>
          <w:trHeight w:val="968"/>
        </w:trPr>
        <w:tc>
          <w:tcPr>
            <w:tcW w:w="437" w:type="dxa"/>
            <w:tcBorders>
              <w:top w:val="nil"/>
              <w:left w:val="single" w:sz="4" w:space="0" w:color="auto"/>
              <w:bottom w:val="single" w:sz="4" w:space="0" w:color="auto"/>
              <w:right w:val="single" w:sz="4" w:space="0" w:color="auto"/>
            </w:tcBorders>
            <w:shd w:val="clear" w:color="auto" w:fill="auto"/>
            <w:noWrap/>
            <w:vAlign w:val="center"/>
            <w:hideMark/>
          </w:tcPr>
          <w:p w:rsidR="00083C8B" w:rsidRPr="00083C8B" w:rsidRDefault="00083C8B" w:rsidP="00083C8B">
            <w:pPr>
              <w:widowControl/>
              <w:jc w:val="center"/>
              <w:rPr>
                <w:rFonts w:ascii="仿宋_GB2312" w:eastAsia="仿宋_GB2312" w:hAnsi="宋体" w:cs="宋体"/>
                <w:color w:val="000000"/>
                <w:kern w:val="0"/>
                <w:sz w:val="20"/>
                <w:szCs w:val="20"/>
              </w:rPr>
            </w:pPr>
            <w:r w:rsidRPr="00083C8B">
              <w:rPr>
                <w:rFonts w:ascii="仿宋_GB2312" w:eastAsia="仿宋_GB2312" w:hAnsi="宋体" w:cs="宋体" w:hint="eastAsia"/>
                <w:color w:val="000000"/>
                <w:kern w:val="0"/>
                <w:sz w:val="20"/>
                <w:szCs w:val="20"/>
              </w:rPr>
              <w:t>2</w:t>
            </w:r>
          </w:p>
        </w:tc>
        <w:tc>
          <w:tcPr>
            <w:tcW w:w="2097" w:type="dxa"/>
            <w:tcBorders>
              <w:top w:val="nil"/>
              <w:left w:val="nil"/>
              <w:bottom w:val="single" w:sz="4" w:space="0" w:color="auto"/>
              <w:right w:val="single" w:sz="4" w:space="0" w:color="auto"/>
            </w:tcBorders>
            <w:shd w:val="clear" w:color="auto" w:fill="auto"/>
            <w:noWrap/>
            <w:vAlign w:val="center"/>
            <w:hideMark/>
          </w:tcPr>
          <w:p w:rsidR="00083C8B" w:rsidRPr="00083C8B" w:rsidRDefault="00083C8B" w:rsidP="00083C8B">
            <w:pPr>
              <w:widowControl/>
              <w:rPr>
                <w:rFonts w:ascii="仿宋_GB2312" w:eastAsia="仿宋_GB2312" w:hAnsi="宋体" w:cs="宋体"/>
                <w:color w:val="000000"/>
                <w:kern w:val="0"/>
                <w:sz w:val="20"/>
                <w:szCs w:val="20"/>
              </w:rPr>
            </w:pPr>
            <w:r w:rsidRPr="00083C8B">
              <w:rPr>
                <w:rFonts w:ascii="仿宋_GB2312" w:eastAsia="仿宋_GB2312" w:hAnsi="宋体" w:cs="宋体" w:hint="eastAsia"/>
                <w:color w:val="000000"/>
                <w:kern w:val="0"/>
                <w:sz w:val="20"/>
                <w:szCs w:val="20"/>
              </w:rPr>
              <w:t>以工代赈任务</w:t>
            </w:r>
          </w:p>
        </w:tc>
        <w:tc>
          <w:tcPr>
            <w:tcW w:w="3203" w:type="dxa"/>
            <w:tcBorders>
              <w:top w:val="nil"/>
              <w:left w:val="nil"/>
              <w:bottom w:val="single" w:sz="4" w:space="0" w:color="auto"/>
              <w:right w:val="single" w:sz="4" w:space="0" w:color="auto"/>
            </w:tcBorders>
            <w:shd w:val="clear" w:color="auto" w:fill="auto"/>
            <w:noWrap/>
            <w:vAlign w:val="center"/>
            <w:hideMark/>
          </w:tcPr>
          <w:p w:rsidR="00083C8B" w:rsidRPr="00083C8B" w:rsidRDefault="00083C8B" w:rsidP="00083C8B">
            <w:pPr>
              <w:widowControl/>
              <w:rPr>
                <w:rFonts w:ascii="仿宋_GB2312" w:eastAsia="仿宋_GB2312" w:hAnsi="宋体" w:cs="宋体"/>
                <w:color w:val="000000"/>
                <w:kern w:val="0"/>
                <w:sz w:val="20"/>
                <w:szCs w:val="20"/>
              </w:rPr>
            </w:pPr>
            <w:r w:rsidRPr="00083C8B">
              <w:rPr>
                <w:rFonts w:ascii="仿宋_GB2312" w:eastAsia="仿宋_GB2312" w:hAnsi="宋体" w:cs="宋体" w:hint="eastAsia"/>
                <w:color w:val="000000"/>
                <w:kern w:val="0"/>
                <w:sz w:val="20"/>
                <w:szCs w:val="20"/>
              </w:rPr>
              <w:t>原深度贫困地区脱贫人口、易地扶贫搬迁脱贫人口规模及结构</w:t>
            </w:r>
          </w:p>
        </w:tc>
        <w:tc>
          <w:tcPr>
            <w:tcW w:w="2079" w:type="dxa"/>
            <w:tcBorders>
              <w:top w:val="nil"/>
              <w:left w:val="nil"/>
              <w:bottom w:val="single" w:sz="4" w:space="0" w:color="auto"/>
              <w:right w:val="single" w:sz="4" w:space="0" w:color="auto"/>
            </w:tcBorders>
            <w:shd w:val="clear" w:color="auto" w:fill="auto"/>
            <w:noWrap/>
            <w:vAlign w:val="center"/>
            <w:hideMark/>
          </w:tcPr>
          <w:p w:rsidR="00083C8B" w:rsidRPr="00083C8B" w:rsidRDefault="00083C8B" w:rsidP="00083C8B">
            <w:pPr>
              <w:widowControl/>
              <w:rPr>
                <w:rFonts w:ascii="仿宋_GB2312" w:eastAsia="仿宋_GB2312" w:hAnsi="宋体" w:cs="宋体"/>
                <w:color w:val="000000"/>
                <w:kern w:val="0"/>
                <w:sz w:val="20"/>
                <w:szCs w:val="20"/>
              </w:rPr>
            </w:pPr>
            <w:r w:rsidRPr="00083C8B">
              <w:rPr>
                <w:rFonts w:ascii="仿宋_GB2312" w:eastAsia="仿宋_GB2312" w:hAnsi="宋体" w:cs="宋体" w:hint="eastAsia"/>
                <w:color w:val="000000"/>
                <w:kern w:val="0"/>
                <w:sz w:val="20"/>
                <w:szCs w:val="20"/>
              </w:rPr>
              <w:t>农村居民人均可支配收入</w:t>
            </w:r>
          </w:p>
        </w:tc>
        <w:tc>
          <w:tcPr>
            <w:tcW w:w="3260" w:type="dxa"/>
            <w:tcBorders>
              <w:top w:val="nil"/>
              <w:left w:val="nil"/>
              <w:bottom w:val="single" w:sz="4" w:space="0" w:color="auto"/>
              <w:right w:val="single" w:sz="4" w:space="0" w:color="auto"/>
            </w:tcBorders>
            <w:shd w:val="clear" w:color="auto" w:fill="auto"/>
            <w:noWrap/>
            <w:vAlign w:val="center"/>
            <w:hideMark/>
          </w:tcPr>
          <w:p w:rsidR="00083C8B" w:rsidRPr="00083C8B" w:rsidRDefault="00083C8B" w:rsidP="00083C8B">
            <w:pPr>
              <w:widowControl/>
              <w:rPr>
                <w:rFonts w:ascii="仿宋_GB2312" w:eastAsia="仿宋_GB2312" w:hAnsi="宋体" w:cs="宋体"/>
                <w:color w:val="000000"/>
                <w:kern w:val="0"/>
                <w:sz w:val="20"/>
                <w:szCs w:val="20"/>
              </w:rPr>
            </w:pPr>
            <w:r w:rsidRPr="00083C8B">
              <w:rPr>
                <w:rFonts w:ascii="仿宋_GB2312" w:eastAsia="仿宋_GB2312" w:hAnsi="宋体" w:cs="宋体" w:hint="eastAsia"/>
                <w:color w:val="000000"/>
                <w:kern w:val="0"/>
                <w:sz w:val="20"/>
                <w:szCs w:val="20"/>
              </w:rPr>
              <w:t>劳务报酬发放情况等</w:t>
            </w:r>
          </w:p>
        </w:tc>
        <w:tc>
          <w:tcPr>
            <w:tcW w:w="3053" w:type="dxa"/>
            <w:tcBorders>
              <w:top w:val="nil"/>
              <w:left w:val="nil"/>
              <w:bottom w:val="single" w:sz="4" w:space="0" w:color="auto"/>
              <w:right w:val="single" w:sz="4" w:space="0" w:color="auto"/>
            </w:tcBorders>
            <w:shd w:val="clear" w:color="auto" w:fill="auto"/>
            <w:noWrap/>
            <w:vAlign w:val="center"/>
            <w:hideMark/>
          </w:tcPr>
          <w:p w:rsidR="00083C8B" w:rsidRPr="00083C8B" w:rsidRDefault="00083C8B" w:rsidP="00083C8B">
            <w:pPr>
              <w:widowControl/>
              <w:rPr>
                <w:rFonts w:ascii="仿宋_GB2312" w:eastAsia="仿宋_GB2312" w:hAnsi="宋体" w:cs="宋体"/>
                <w:color w:val="000000"/>
                <w:kern w:val="0"/>
                <w:sz w:val="20"/>
                <w:szCs w:val="20"/>
              </w:rPr>
            </w:pPr>
            <w:r w:rsidRPr="00083C8B">
              <w:rPr>
                <w:rFonts w:ascii="仿宋_GB2312" w:eastAsia="仿宋_GB2312" w:hAnsi="宋体" w:cs="宋体" w:hint="eastAsia"/>
                <w:color w:val="000000"/>
                <w:kern w:val="0"/>
                <w:sz w:val="20"/>
                <w:szCs w:val="20"/>
              </w:rPr>
              <w:t>根据年度资金绩效评价及相关考核结果确定</w:t>
            </w:r>
          </w:p>
        </w:tc>
      </w:tr>
      <w:tr w:rsidR="00083C8B" w:rsidRPr="00083C8B" w:rsidTr="00083C8B">
        <w:trPr>
          <w:trHeight w:val="996"/>
        </w:trPr>
        <w:tc>
          <w:tcPr>
            <w:tcW w:w="437" w:type="dxa"/>
            <w:tcBorders>
              <w:top w:val="nil"/>
              <w:left w:val="single" w:sz="4" w:space="0" w:color="auto"/>
              <w:bottom w:val="single" w:sz="4" w:space="0" w:color="auto"/>
              <w:right w:val="single" w:sz="4" w:space="0" w:color="auto"/>
            </w:tcBorders>
            <w:shd w:val="clear" w:color="auto" w:fill="auto"/>
            <w:noWrap/>
            <w:vAlign w:val="center"/>
            <w:hideMark/>
          </w:tcPr>
          <w:p w:rsidR="00083C8B" w:rsidRPr="00083C8B" w:rsidRDefault="00083C8B" w:rsidP="00083C8B">
            <w:pPr>
              <w:widowControl/>
              <w:jc w:val="center"/>
              <w:rPr>
                <w:rFonts w:ascii="仿宋_GB2312" w:eastAsia="仿宋_GB2312" w:hAnsi="宋体" w:cs="宋体"/>
                <w:color w:val="000000"/>
                <w:kern w:val="0"/>
                <w:sz w:val="20"/>
                <w:szCs w:val="20"/>
              </w:rPr>
            </w:pPr>
            <w:r w:rsidRPr="00083C8B">
              <w:rPr>
                <w:rFonts w:ascii="仿宋_GB2312" w:eastAsia="仿宋_GB2312" w:hAnsi="宋体" w:cs="宋体" w:hint="eastAsia"/>
                <w:color w:val="000000"/>
                <w:kern w:val="0"/>
                <w:sz w:val="20"/>
                <w:szCs w:val="20"/>
              </w:rPr>
              <w:t>3</w:t>
            </w:r>
          </w:p>
        </w:tc>
        <w:tc>
          <w:tcPr>
            <w:tcW w:w="2097" w:type="dxa"/>
            <w:tcBorders>
              <w:top w:val="nil"/>
              <w:left w:val="nil"/>
              <w:bottom w:val="single" w:sz="4" w:space="0" w:color="auto"/>
              <w:right w:val="single" w:sz="4" w:space="0" w:color="auto"/>
            </w:tcBorders>
            <w:shd w:val="clear" w:color="auto" w:fill="auto"/>
            <w:noWrap/>
            <w:vAlign w:val="center"/>
            <w:hideMark/>
          </w:tcPr>
          <w:p w:rsidR="00083C8B" w:rsidRPr="00083C8B" w:rsidRDefault="00083C8B" w:rsidP="00083C8B">
            <w:pPr>
              <w:widowControl/>
              <w:rPr>
                <w:rFonts w:ascii="仿宋_GB2312" w:eastAsia="仿宋_GB2312" w:hAnsi="宋体" w:cs="宋体"/>
                <w:color w:val="000000"/>
                <w:kern w:val="0"/>
                <w:sz w:val="20"/>
                <w:szCs w:val="20"/>
              </w:rPr>
            </w:pPr>
            <w:r w:rsidRPr="00083C8B">
              <w:rPr>
                <w:rFonts w:ascii="仿宋_GB2312" w:eastAsia="仿宋_GB2312" w:hAnsi="宋体" w:cs="宋体" w:hint="eastAsia"/>
                <w:color w:val="000000"/>
                <w:kern w:val="0"/>
                <w:sz w:val="20"/>
                <w:szCs w:val="20"/>
              </w:rPr>
              <w:t>少数民族发展任务</w:t>
            </w:r>
          </w:p>
        </w:tc>
        <w:tc>
          <w:tcPr>
            <w:tcW w:w="3203" w:type="dxa"/>
            <w:tcBorders>
              <w:top w:val="nil"/>
              <w:left w:val="nil"/>
              <w:bottom w:val="single" w:sz="4" w:space="0" w:color="auto"/>
              <w:right w:val="single" w:sz="4" w:space="0" w:color="auto"/>
            </w:tcBorders>
            <w:shd w:val="clear" w:color="auto" w:fill="auto"/>
            <w:vAlign w:val="center"/>
            <w:hideMark/>
          </w:tcPr>
          <w:p w:rsidR="00083C8B" w:rsidRPr="00083C8B" w:rsidRDefault="00083C8B" w:rsidP="00083C8B">
            <w:pPr>
              <w:widowControl/>
              <w:rPr>
                <w:rFonts w:ascii="仿宋_GB2312" w:eastAsia="仿宋_GB2312" w:hAnsi="宋体" w:cs="宋体"/>
                <w:color w:val="000000"/>
                <w:kern w:val="0"/>
                <w:sz w:val="20"/>
                <w:szCs w:val="20"/>
              </w:rPr>
            </w:pPr>
            <w:r w:rsidRPr="00083C8B">
              <w:rPr>
                <w:rFonts w:ascii="仿宋_GB2312" w:eastAsia="仿宋_GB2312" w:hAnsi="宋体" w:cs="宋体" w:hint="eastAsia"/>
                <w:color w:val="000000"/>
                <w:kern w:val="0"/>
                <w:sz w:val="20"/>
                <w:szCs w:val="20"/>
              </w:rPr>
              <w:t>少数民族人口等数量及结构</w:t>
            </w:r>
          </w:p>
        </w:tc>
        <w:tc>
          <w:tcPr>
            <w:tcW w:w="2079" w:type="dxa"/>
            <w:tcBorders>
              <w:top w:val="nil"/>
              <w:left w:val="nil"/>
              <w:bottom w:val="single" w:sz="4" w:space="0" w:color="auto"/>
              <w:right w:val="single" w:sz="4" w:space="0" w:color="auto"/>
            </w:tcBorders>
            <w:shd w:val="clear" w:color="auto" w:fill="auto"/>
            <w:vAlign w:val="center"/>
            <w:hideMark/>
          </w:tcPr>
          <w:p w:rsidR="00083C8B" w:rsidRPr="00083C8B" w:rsidRDefault="00083C8B" w:rsidP="00083C8B">
            <w:pPr>
              <w:widowControl/>
              <w:rPr>
                <w:rFonts w:ascii="仿宋_GB2312" w:eastAsia="仿宋_GB2312" w:hAnsi="宋体" w:cs="宋体"/>
                <w:color w:val="000000"/>
                <w:kern w:val="0"/>
                <w:sz w:val="20"/>
                <w:szCs w:val="20"/>
              </w:rPr>
            </w:pPr>
            <w:r w:rsidRPr="00083C8B">
              <w:rPr>
                <w:rFonts w:ascii="仿宋_GB2312" w:eastAsia="仿宋_GB2312" w:hAnsi="宋体" w:cs="宋体" w:hint="eastAsia"/>
                <w:color w:val="000000"/>
                <w:kern w:val="0"/>
                <w:sz w:val="20"/>
                <w:szCs w:val="20"/>
              </w:rPr>
              <w:t>民族自治地方和民族乡镇农村居民人均可支配收入</w:t>
            </w:r>
          </w:p>
        </w:tc>
        <w:tc>
          <w:tcPr>
            <w:tcW w:w="3260" w:type="dxa"/>
            <w:tcBorders>
              <w:top w:val="nil"/>
              <w:left w:val="nil"/>
              <w:bottom w:val="single" w:sz="4" w:space="0" w:color="auto"/>
              <w:right w:val="single" w:sz="4" w:space="0" w:color="auto"/>
            </w:tcBorders>
            <w:shd w:val="clear" w:color="auto" w:fill="auto"/>
            <w:vAlign w:val="center"/>
            <w:hideMark/>
          </w:tcPr>
          <w:p w:rsidR="00083C8B" w:rsidRPr="00083C8B" w:rsidRDefault="00083C8B" w:rsidP="00083C8B">
            <w:pPr>
              <w:widowControl/>
              <w:rPr>
                <w:rFonts w:ascii="仿宋_GB2312" w:eastAsia="仿宋_GB2312" w:hAnsi="宋体" w:cs="宋体"/>
                <w:color w:val="000000"/>
                <w:kern w:val="0"/>
                <w:sz w:val="20"/>
                <w:szCs w:val="20"/>
              </w:rPr>
            </w:pPr>
            <w:r w:rsidRPr="00083C8B">
              <w:rPr>
                <w:rFonts w:ascii="仿宋_GB2312" w:eastAsia="仿宋_GB2312" w:hAnsi="宋体" w:cs="宋体" w:hint="eastAsia"/>
                <w:color w:val="000000"/>
                <w:kern w:val="0"/>
                <w:sz w:val="20"/>
                <w:szCs w:val="20"/>
              </w:rPr>
              <w:t>兴边富民行动、民族村寨等</w:t>
            </w:r>
          </w:p>
        </w:tc>
        <w:tc>
          <w:tcPr>
            <w:tcW w:w="3053" w:type="dxa"/>
            <w:tcBorders>
              <w:top w:val="nil"/>
              <w:left w:val="nil"/>
              <w:bottom w:val="single" w:sz="4" w:space="0" w:color="auto"/>
              <w:right w:val="single" w:sz="4" w:space="0" w:color="auto"/>
            </w:tcBorders>
            <w:shd w:val="clear" w:color="auto" w:fill="auto"/>
            <w:noWrap/>
            <w:vAlign w:val="center"/>
            <w:hideMark/>
          </w:tcPr>
          <w:p w:rsidR="00083C8B" w:rsidRPr="00083C8B" w:rsidRDefault="00083C8B" w:rsidP="00083C8B">
            <w:pPr>
              <w:widowControl/>
              <w:rPr>
                <w:rFonts w:ascii="仿宋_GB2312" w:eastAsia="仿宋_GB2312" w:hAnsi="宋体" w:cs="宋体"/>
                <w:color w:val="000000"/>
                <w:kern w:val="0"/>
                <w:sz w:val="20"/>
                <w:szCs w:val="20"/>
              </w:rPr>
            </w:pPr>
            <w:r w:rsidRPr="00083C8B">
              <w:rPr>
                <w:rFonts w:ascii="仿宋_GB2312" w:eastAsia="仿宋_GB2312" w:hAnsi="宋体" w:cs="宋体" w:hint="eastAsia"/>
                <w:color w:val="000000"/>
                <w:kern w:val="0"/>
                <w:sz w:val="20"/>
                <w:szCs w:val="20"/>
              </w:rPr>
              <w:t>根据年度资金绩效评价及相关考核结果确定</w:t>
            </w:r>
          </w:p>
        </w:tc>
      </w:tr>
      <w:tr w:rsidR="00083C8B" w:rsidRPr="00083C8B" w:rsidTr="00083C8B">
        <w:trPr>
          <w:trHeight w:val="720"/>
        </w:trPr>
        <w:tc>
          <w:tcPr>
            <w:tcW w:w="437" w:type="dxa"/>
            <w:tcBorders>
              <w:top w:val="nil"/>
              <w:left w:val="single" w:sz="4" w:space="0" w:color="auto"/>
              <w:bottom w:val="single" w:sz="4" w:space="0" w:color="auto"/>
              <w:right w:val="single" w:sz="4" w:space="0" w:color="auto"/>
            </w:tcBorders>
            <w:shd w:val="clear" w:color="auto" w:fill="auto"/>
            <w:noWrap/>
            <w:vAlign w:val="center"/>
            <w:hideMark/>
          </w:tcPr>
          <w:p w:rsidR="00083C8B" w:rsidRPr="00083C8B" w:rsidRDefault="00083C8B" w:rsidP="00083C8B">
            <w:pPr>
              <w:widowControl/>
              <w:jc w:val="center"/>
              <w:rPr>
                <w:rFonts w:ascii="仿宋_GB2312" w:eastAsia="仿宋_GB2312" w:hAnsi="宋体" w:cs="宋体"/>
                <w:color w:val="000000"/>
                <w:kern w:val="0"/>
                <w:sz w:val="20"/>
                <w:szCs w:val="20"/>
              </w:rPr>
            </w:pPr>
            <w:r w:rsidRPr="00083C8B">
              <w:rPr>
                <w:rFonts w:ascii="仿宋_GB2312" w:eastAsia="仿宋_GB2312" w:hAnsi="宋体" w:cs="宋体" w:hint="eastAsia"/>
                <w:color w:val="000000"/>
                <w:kern w:val="0"/>
                <w:sz w:val="20"/>
                <w:szCs w:val="20"/>
              </w:rPr>
              <w:t>4</w:t>
            </w:r>
          </w:p>
        </w:tc>
        <w:tc>
          <w:tcPr>
            <w:tcW w:w="2097" w:type="dxa"/>
            <w:tcBorders>
              <w:top w:val="nil"/>
              <w:left w:val="nil"/>
              <w:bottom w:val="single" w:sz="4" w:space="0" w:color="auto"/>
              <w:right w:val="single" w:sz="4" w:space="0" w:color="auto"/>
            </w:tcBorders>
            <w:shd w:val="clear" w:color="auto" w:fill="auto"/>
            <w:noWrap/>
            <w:vAlign w:val="center"/>
            <w:hideMark/>
          </w:tcPr>
          <w:p w:rsidR="00083C8B" w:rsidRPr="00083C8B" w:rsidRDefault="00083C8B" w:rsidP="00083C8B">
            <w:pPr>
              <w:widowControl/>
              <w:rPr>
                <w:rFonts w:ascii="仿宋_GB2312" w:eastAsia="仿宋_GB2312" w:hAnsi="宋体" w:cs="宋体"/>
                <w:color w:val="000000"/>
                <w:kern w:val="0"/>
                <w:sz w:val="20"/>
                <w:szCs w:val="20"/>
              </w:rPr>
            </w:pPr>
            <w:r w:rsidRPr="00083C8B">
              <w:rPr>
                <w:rFonts w:ascii="仿宋_GB2312" w:eastAsia="仿宋_GB2312" w:hAnsi="宋体" w:cs="宋体" w:hint="eastAsia"/>
                <w:color w:val="000000"/>
                <w:kern w:val="0"/>
                <w:sz w:val="20"/>
                <w:szCs w:val="20"/>
              </w:rPr>
              <w:t>欠发达国有农场巩固提升任务</w:t>
            </w:r>
          </w:p>
        </w:tc>
        <w:tc>
          <w:tcPr>
            <w:tcW w:w="3203" w:type="dxa"/>
            <w:tcBorders>
              <w:top w:val="nil"/>
              <w:left w:val="nil"/>
              <w:bottom w:val="single" w:sz="4" w:space="0" w:color="auto"/>
              <w:right w:val="single" w:sz="4" w:space="0" w:color="auto"/>
            </w:tcBorders>
            <w:shd w:val="clear" w:color="auto" w:fill="auto"/>
            <w:noWrap/>
            <w:vAlign w:val="center"/>
            <w:hideMark/>
          </w:tcPr>
          <w:p w:rsidR="00083C8B" w:rsidRPr="00083C8B" w:rsidRDefault="00083C8B" w:rsidP="00083C8B">
            <w:pPr>
              <w:widowControl/>
              <w:rPr>
                <w:rFonts w:ascii="仿宋_GB2312" w:eastAsia="仿宋_GB2312" w:hAnsi="宋体" w:cs="宋体"/>
                <w:color w:val="000000"/>
                <w:kern w:val="0"/>
                <w:sz w:val="20"/>
                <w:szCs w:val="20"/>
              </w:rPr>
            </w:pPr>
            <w:r w:rsidRPr="00083C8B">
              <w:rPr>
                <w:rFonts w:ascii="仿宋_GB2312" w:eastAsia="仿宋_GB2312" w:hAnsi="宋体" w:cs="宋体" w:hint="eastAsia"/>
                <w:color w:val="000000"/>
                <w:kern w:val="0"/>
                <w:sz w:val="20"/>
                <w:szCs w:val="20"/>
              </w:rPr>
              <w:t>欠发达国有农场从业人员数量及结构</w:t>
            </w:r>
          </w:p>
        </w:tc>
        <w:tc>
          <w:tcPr>
            <w:tcW w:w="2079" w:type="dxa"/>
            <w:tcBorders>
              <w:top w:val="nil"/>
              <w:left w:val="nil"/>
              <w:bottom w:val="single" w:sz="4" w:space="0" w:color="auto"/>
              <w:right w:val="single" w:sz="4" w:space="0" w:color="auto"/>
            </w:tcBorders>
            <w:shd w:val="clear" w:color="auto" w:fill="auto"/>
            <w:noWrap/>
            <w:vAlign w:val="center"/>
            <w:hideMark/>
          </w:tcPr>
          <w:p w:rsidR="00083C8B" w:rsidRPr="00083C8B" w:rsidRDefault="00083C8B" w:rsidP="00083C8B">
            <w:pPr>
              <w:widowControl/>
              <w:rPr>
                <w:rFonts w:ascii="仿宋_GB2312" w:eastAsia="仿宋_GB2312" w:hAnsi="宋体" w:cs="宋体"/>
                <w:color w:val="000000"/>
                <w:kern w:val="0"/>
                <w:sz w:val="20"/>
                <w:szCs w:val="20"/>
              </w:rPr>
            </w:pPr>
            <w:r w:rsidRPr="00083C8B">
              <w:rPr>
                <w:rFonts w:ascii="仿宋_GB2312" w:eastAsia="仿宋_GB2312" w:hAnsi="宋体" w:cs="宋体" w:hint="eastAsia"/>
                <w:color w:val="000000"/>
                <w:kern w:val="0"/>
                <w:sz w:val="20"/>
                <w:szCs w:val="20"/>
              </w:rPr>
              <w:t>从业人员年均收入</w:t>
            </w:r>
          </w:p>
        </w:tc>
        <w:tc>
          <w:tcPr>
            <w:tcW w:w="3260" w:type="dxa"/>
            <w:tcBorders>
              <w:top w:val="nil"/>
              <w:left w:val="nil"/>
              <w:bottom w:val="single" w:sz="4" w:space="0" w:color="auto"/>
              <w:right w:val="single" w:sz="4" w:space="0" w:color="auto"/>
            </w:tcBorders>
            <w:shd w:val="clear" w:color="auto" w:fill="auto"/>
            <w:noWrap/>
            <w:vAlign w:val="center"/>
            <w:hideMark/>
          </w:tcPr>
          <w:p w:rsidR="00083C8B" w:rsidRPr="00083C8B" w:rsidRDefault="00083C8B" w:rsidP="00083C8B">
            <w:pPr>
              <w:widowControl/>
              <w:rPr>
                <w:rFonts w:ascii="仿宋_GB2312" w:eastAsia="仿宋_GB2312" w:hAnsi="宋体" w:cs="宋体"/>
                <w:color w:val="000000"/>
                <w:kern w:val="0"/>
                <w:sz w:val="20"/>
                <w:szCs w:val="20"/>
              </w:rPr>
            </w:pPr>
            <w:r w:rsidRPr="00083C8B">
              <w:rPr>
                <w:rFonts w:ascii="仿宋_GB2312" w:eastAsia="仿宋_GB2312" w:hAnsi="宋体" w:cs="宋体" w:hint="eastAsia"/>
                <w:color w:val="000000"/>
                <w:kern w:val="0"/>
                <w:sz w:val="20"/>
                <w:szCs w:val="20"/>
              </w:rPr>
              <w:t>国有农场改革情况等</w:t>
            </w:r>
          </w:p>
        </w:tc>
        <w:tc>
          <w:tcPr>
            <w:tcW w:w="3053" w:type="dxa"/>
            <w:tcBorders>
              <w:top w:val="nil"/>
              <w:left w:val="nil"/>
              <w:bottom w:val="single" w:sz="4" w:space="0" w:color="auto"/>
              <w:right w:val="single" w:sz="4" w:space="0" w:color="auto"/>
            </w:tcBorders>
            <w:shd w:val="clear" w:color="auto" w:fill="auto"/>
            <w:noWrap/>
            <w:vAlign w:val="center"/>
            <w:hideMark/>
          </w:tcPr>
          <w:p w:rsidR="00083C8B" w:rsidRPr="00083C8B" w:rsidRDefault="00083C8B" w:rsidP="00083C8B">
            <w:pPr>
              <w:widowControl/>
              <w:rPr>
                <w:rFonts w:ascii="仿宋_GB2312" w:eastAsia="仿宋_GB2312" w:hAnsi="宋体" w:cs="宋体"/>
                <w:color w:val="000000"/>
                <w:kern w:val="0"/>
                <w:sz w:val="20"/>
                <w:szCs w:val="20"/>
              </w:rPr>
            </w:pPr>
            <w:r w:rsidRPr="00083C8B">
              <w:rPr>
                <w:rFonts w:ascii="仿宋_GB2312" w:eastAsia="仿宋_GB2312" w:hAnsi="宋体" w:cs="宋体" w:hint="eastAsia"/>
                <w:color w:val="000000"/>
                <w:kern w:val="0"/>
                <w:sz w:val="20"/>
                <w:szCs w:val="20"/>
              </w:rPr>
              <w:t>根据年度资金绩效评价及相关考核结果确定</w:t>
            </w:r>
          </w:p>
        </w:tc>
      </w:tr>
      <w:tr w:rsidR="00083C8B" w:rsidRPr="00083C8B" w:rsidTr="00083C8B">
        <w:trPr>
          <w:trHeight w:val="720"/>
        </w:trPr>
        <w:tc>
          <w:tcPr>
            <w:tcW w:w="437" w:type="dxa"/>
            <w:tcBorders>
              <w:top w:val="nil"/>
              <w:left w:val="single" w:sz="4" w:space="0" w:color="auto"/>
              <w:bottom w:val="single" w:sz="4" w:space="0" w:color="auto"/>
              <w:right w:val="single" w:sz="4" w:space="0" w:color="auto"/>
            </w:tcBorders>
            <w:shd w:val="clear" w:color="auto" w:fill="auto"/>
            <w:noWrap/>
            <w:vAlign w:val="center"/>
            <w:hideMark/>
          </w:tcPr>
          <w:p w:rsidR="00083C8B" w:rsidRPr="00083C8B" w:rsidRDefault="00083C8B" w:rsidP="00083C8B">
            <w:pPr>
              <w:widowControl/>
              <w:jc w:val="center"/>
              <w:rPr>
                <w:rFonts w:ascii="仿宋_GB2312" w:eastAsia="仿宋_GB2312" w:hAnsi="宋体" w:cs="宋体"/>
                <w:color w:val="000000"/>
                <w:kern w:val="0"/>
                <w:sz w:val="20"/>
                <w:szCs w:val="20"/>
              </w:rPr>
            </w:pPr>
            <w:r w:rsidRPr="00083C8B">
              <w:rPr>
                <w:rFonts w:ascii="仿宋_GB2312" w:eastAsia="仿宋_GB2312" w:hAnsi="宋体" w:cs="宋体" w:hint="eastAsia"/>
                <w:color w:val="000000"/>
                <w:kern w:val="0"/>
                <w:sz w:val="20"/>
                <w:szCs w:val="20"/>
              </w:rPr>
              <w:t>5</w:t>
            </w:r>
          </w:p>
        </w:tc>
        <w:tc>
          <w:tcPr>
            <w:tcW w:w="2097" w:type="dxa"/>
            <w:tcBorders>
              <w:top w:val="nil"/>
              <w:left w:val="nil"/>
              <w:bottom w:val="single" w:sz="4" w:space="0" w:color="auto"/>
              <w:right w:val="single" w:sz="4" w:space="0" w:color="auto"/>
            </w:tcBorders>
            <w:shd w:val="clear" w:color="auto" w:fill="auto"/>
            <w:noWrap/>
            <w:vAlign w:val="center"/>
            <w:hideMark/>
          </w:tcPr>
          <w:p w:rsidR="00083C8B" w:rsidRPr="00083C8B" w:rsidRDefault="00083C8B" w:rsidP="00083C8B">
            <w:pPr>
              <w:widowControl/>
              <w:rPr>
                <w:rFonts w:ascii="仿宋_GB2312" w:eastAsia="仿宋_GB2312" w:hAnsi="宋体" w:cs="宋体"/>
                <w:color w:val="000000"/>
                <w:kern w:val="0"/>
                <w:sz w:val="20"/>
                <w:szCs w:val="20"/>
              </w:rPr>
            </w:pPr>
            <w:r w:rsidRPr="00083C8B">
              <w:rPr>
                <w:rFonts w:ascii="仿宋_GB2312" w:eastAsia="仿宋_GB2312" w:hAnsi="宋体" w:cs="宋体" w:hint="eastAsia"/>
                <w:color w:val="000000"/>
                <w:kern w:val="0"/>
                <w:sz w:val="20"/>
                <w:szCs w:val="20"/>
              </w:rPr>
              <w:t>欠发达国有林场巩固提升任务</w:t>
            </w:r>
          </w:p>
        </w:tc>
        <w:tc>
          <w:tcPr>
            <w:tcW w:w="3203" w:type="dxa"/>
            <w:tcBorders>
              <w:top w:val="nil"/>
              <w:left w:val="nil"/>
              <w:bottom w:val="single" w:sz="4" w:space="0" w:color="auto"/>
              <w:right w:val="single" w:sz="4" w:space="0" w:color="auto"/>
            </w:tcBorders>
            <w:shd w:val="clear" w:color="auto" w:fill="auto"/>
            <w:noWrap/>
            <w:vAlign w:val="center"/>
            <w:hideMark/>
          </w:tcPr>
          <w:p w:rsidR="00083C8B" w:rsidRPr="00083C8B" w:rsidRDefault="00083C8B" w:rsidP="00083C8B">
            <w:pPr>
              <w:widowControl/>
              <w:rPr>
                <w:rFonts w:ascii="仿宋_GB2312" w:eastAsia="仿宋_GB2312" w:hAnsi="宋体" w:cs="宋体"/>
                <w:color w:val="000000"/>
                <w:kern w:val="0"/>
                <w:sz w:val="20"/>
                <w:szCs w:val="20"/>
              </w:rPr>
            </w:pPr>
            <w:r w:rsidRPr="00083C8B">
              <w:rPr>
                <w:rFonts w:ascii="仿宋_GB2312" w:eastAsia="仿宋_GB2312" w:hAnsi="宋体" w:cs="宋体" w:hint="eastAsia"/>
                <w:color w:val="000000"/>
                <w:kern w:val="0"/>
                <w:sz w:val="20"/>
                <w:szCs w:val="20"/>
              </w:rPr>
              <w:t>欠发达国有林场从业人员数量及结构</w:t>
            </w:r>
          </w:p>
        </w:tc>
        <w:tc>
          <w:tcPr>
            <w:tcW w:w="2079" w:type="dxa"/>
            <w:tcBorders>
              <w:top w:val="nil"/>
              <w:left w:val="nil"/>
              <w:bottom w:val="single" w:sz="4" w:space="0" w:color="auto"/>
              <w:right w:val="single" w:sz="4" w:space="0" w:color="auto"/>
            </w:tcBorders>
            <w:shd w:val="clear" w:color="auto" w:fill="auto"/>
            <w:noWrap/>
            <w:vAlign w:val="center"/>
            <w:hideMark/>
          </w:tcPr>
          <w:p w:rsidR="00083C8B" w:rsidRPr="00083C8B" w:rsidRDefault="00083C8B" w:rsidP="00083C8B">
            <w:pPr>
              <w:widowControl/>
              <w:rPr>
                <w:rFonts w:ascii="仿宋_GB2312" w:eastAsia="仿宋_GB2312" w:hAnsi="宋体" w:cs="宋体"/>
                <w:color w:val="000000"/>
                <w:kern w:val="0"/>
                <w:sz w:val="20"/>
                <w:szCs w:val="20"/>
              </w:rPr>
            </w:pPr>
            <w:r w:rsidRPr="00083C8B">
              <w:rPr>
                <w:rFonts w:ascii="仿宋_GB2312" w:eastAsia="仿宋_GB2312" w:hAnsi="宋体" w:cs="宋体" w:hint="eastAsia"/>
                <w:color w:val="000000"/>
                <w:kern w:val="0"/>
                <w:sz w:val="20"/>
                <w:szCs w:val="20"/>
              </w:rPr>
              <w:t>从业人员年均收入</w:t>
            </w:r>
          </w:p>
        </w:tc>
        <w:tc>
          <w:tcPr>
            <w:tcW w:w="3260" w:type="dxa"/>
            <w:tcBorders>
              <w:top w:val="nil"/>
              <w:left w:val="nil"/>
              <w:bottom w:val="single" w:sz="4" w:space="0" w:color="auto"/>
              <w:right w:val="single" w:sz="4" w:space="0" w:color="auto"/>
            </w:tcBorders>
            <w:shd w:val="clear" w:color="auto" w:fill="auto"/>
            <w:noWrap/>
            <w:vAlign w:val="center"/>
            <w:hideMark/>
          </w:tcPr>
          <w:p w:rsidR="00083C8B" w:rsidRPr="00083C8B" w:rsidRDefault="00083C8B" w:rsidP="00083C8B">
            <w:pPr>
              <w:widowControl/>
              <w:rPr>
                <w:rFonts w:ascii="仿宋_GB2312" w:eastAsia="仿宋_GB2312" w:hAnsi="宋体" w:cs="宋体"/>
                <w:color w:val="000000"/>
                <w:kern w:val="0"/>
                <w:sz w:val="20"/>
                <w:szCs w:val="20"/>
              </w:rPr>
            </w:pPr>
            <w:r w:rsidRPr="00083C8B">
              <w:rPr>
                <w:rFonts w:ascii="仿宋_GB2312" w:eastAsia="仿宋_GB2312" w:hAnsi="宋体" w:cs="宋体" w:hint="eastAsia"/>
                <w:color w:val="000000"/>
                <w:kern w:val="0"/>
                <w:sz w:val="20"/>
                <w:szCs w:val="20"/>
              </w:rPr>
              <w:t>国有林场改革情况等</w:t>
            </w:r>
          </w:p>
        </w:tc>
        <w:tc>
          <w:tcPr>
            <w:tcW w:w="3053" w:type="dxa"/>
            <w:tcBorders>
              <w:top w:val="nil"/>
              <w:left w:val="nil"/>
              <w:bottom w:val="single" w:sz="4" w:space="0" w:color="auto"/>
              <w:right w:val="single" w:sz="4" w:space="0" w:color="auto"/>
            </w:tcBorders>
            <w:shd w:val="clear" w:color="auto" w:fill="auto"/>
            <w:noWrap/>
            <w:vAlign w:val="center"/>
            <w:hideMark/>
          </w:tcPr>
          <w:p w:rsidR="00083C8B" w:rsidRPr="00083C8B" w:rsidRDefault="00083C8B" w:rsidP="00083C8B">
            <w:pPr>
              <w:widowControl/>
              <w:rPr>
                <w:rFonts w:ascii="仿宋_GB2312" w:eastAsia="仿宋_GB2312" w:hAnsi="宋体" w:cs="宋体"/>
                <w:color w:val="000000"/>
                <w:kern w:val="0"/>
                <w:sz w:val="20"/>
                <w:szCs w:val="20"/>
              </w:rPr>
            </w:pPr>
            <w:r w:rsidRPr="00083C8B">
              <w:rPr>
                <w:rFonts w:ascii="仿宋_GB2312" w:eastAsia="仿宋_GB2312" w:hAnsi="宋体" w:cs="宋体" w:hint="eastAsia"/>
                <w:color w:val="000000"/>
                <w:kern w:val="0"/>
                <w:sz w:val="20"/>
                <w:szCs w:val="20"/>
              </w:rPr>
              <w:t>根据年度资金绩效评价及相关考核结果确定</w:t>
            </w:r>
          </w:p>
        </w:tc>
      </w:tr>
      <w:tr w:rsidR="00083C8B" w:rsidRPr="00083C8B" w:rsidTr="00083C8B">
        <w:trPr>
          <w:trHeight w:val="889"/>
        </w:trPr>
        <w:tc>
          <w:tcPr>
            <w:tcW w:w="14129" w:type="dxa"/>
            <w:gridSpan w:val="6"/>
            <w:tcBorders>
              <w:top w:val="single" w:sz="4" w:space="0" w:color="auto"/>
              <w:left w:val="nil"/>
              <w:bottom w:val="nil"/>
              <w:right w:val="nil"/>
            </w:tcBorders>
            <w:shd w:val="clear" w:color="auto" w:fill="auto"/>
            <w:vAlign w:val="center"/>
            <w:hideMark/>
          </w:tcPr>
          <w:p w:rsidR="00083C8B" w:rsidRPr="00083C8B" w:rsidRDefault="00083C8B" w:rsidP="00083C8B">
            <w:pPr>
              <w:widowControl/>
              <w:jc w:val="left"/>
              <w:rPr>
                <w:rFonts w:ascii="仿宋_GB2312" w:eastAsia="仿宋_GB2312" w:hAnsi="宋体" w:cs="宋体"/>
                <w:color w:val="000000"/>
                <w:kern w:val="0"/>
                <w:sz w:val="20"/>
                <w:szCs w:val="20"/>
              </w:rPr>
            </w:pPr>
            <w:r w:rsidRPr="00083C8B">
              <w:rPr>
                <w:rFonts w:ascii="仿宋_GB2312" w:eastAsia="仿宋_GB2312" w:hAnsi="宋体" w:cs="宋体" w:hint="eastAsia"/>
                <w:color w:val="000000"/>
                <w:kern w:val="0"/>
                <w:sz w:val="20"/>
                <w:szCs w:val="20"/>
              </w:rPr>
              <w:t>注：每年分配资金选择的具体因素和权重，可根据当年巩固拓展脱贫攻坚成果同乡村振兴的工作重点进行适当调整。</w:t>
            </w:r>
          </w:p>
        </w:tc>
      </w:tr>
    </w:tbl>
    <w:p w:rsidR="00E122F3" w:rsidRPr="00083C8B" w:rsidRDefault="006F1794">
      <w:pPr>
        <w:rPr>
          <w:rFonts w:ascii="仿宋_GB2312" w:eastAsia="仿宋_GB2312"/>
          <w:sz w:val="32"/>
          <w:szCs w:val="32"/>
        </w:rPr>
      </w:pPr>
    </w:p>
    <w:sectPr w:rsidR="00E122F3" w:rsidRPr="00083C8B" w:rsidSect="00083C8B">
      <w:pgSz w:w="16838" w:h="11906" w:orient="landscape" w:code="9"/>
      <w:pgMar w:top="1588" w:right="1418" w:bottom="1588" w:left="1418"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1794" w:rsidRDefault="006F1794" w:rsidP="00D652DD">
      <w:r>
        <w:separator/>
      </w:r>
    </w:p>
  </w:endnote>
  <w:endnote w:type="continuationSeparator" w:id="0">
    <w:p w:rsidR="006F1794" w:rsidRDefault="006F1794" w:rsidP="00D652D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1794" w:rsidRDefault="006F1794" w:rsidP="00D652DD">
      <w:r>
        <w:separator/>
      </w:r>
    </w:p>
  </w:footnote>
  <w:footnote w:type="continuationSeparator" w:id="0">
    <w:p w:rsidR="006F1794" w:rsidRDefault="006F1794" w:rsidP="00D652D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026C7"/>
    <w:rsid w:val="00083C8B"/>
    <w:rsid w:val="001D617D"/>
    <w:rsid w:val="00403A75"/>
    <w:rsid w:val="004E3A10"/>
    <w:rsid w:val="0063348B"/>
    <w:rsid w:val="006F1794"/>
    <w:rsid w:val="006F5E0E"/>
    <w:rsid w:val="008026C7"/>
    <w:rsid w:val="00D652DD"/>
    <w:rsid w:val="00FE5EF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348B"/>
    <w:pPr>
      <w:widowControl w:val="0"/>
      <w:jc w:val="both"/>
    </w:pPr>
  </w:style>
  <w:style w:type="paragraph" w:styleId="2">
    <w:name w:val="heading 2"/>
    <w:basedOn w:val="a"/>
    <w:link w:val="2Char"/>
    <w:uiPriority w:val="9"/>
    <w:qFormat/>
    <w:rsid w:val="008026C7"/>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8026C7"/>
    <w:rPr>
      <w:rFonts w:ascii="宋体" w:eastAsia="宋体" w:hAnsi="宋体" w:cs="宋体"/>
      <w:b/>
      <w:bCs/>
      <w:kern w:val="0"/>
      <w:sz w:val="36"/>
      <w:szCs w:val="36"/>
    </w:rPr>
  </w:style>
  <w:style w:type="paragraph" w:styleId="a3">
    <w:name w:val="Normal (Web)"/>
    <w:basedOn w:val="a"/>
    <w:uiPriority w:val="99"/>
    <w:semiHidden/>
    <w:unhideWhenUsed/>
    <w:rsid w:val="008026C7"/>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D652D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D652DD"/>
    <w:rPr>
      <w:sz w:val="18"/>
      <w:szCs w:val="18"/>
    </w:rPr>
  </w:style>
  <w:style w:type="paragraph" w:styleId="a5">
    <w:name w:val="footer"/>
    <w:basedOn w:val="a"/>
    <w:link w:val="Char0"/>
    <w:uiPriority w:val="99"/>
    <w:semiHidden/>
    <w:unhideWhenUsed/>
    <w:rsid w:val="00D652DD"/>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D652DD"/>
    <w:rPr>
      <w:sz w:val="18"/>
      <w:szCs w:val="18"/>
    </w:rPr>
  </w:style>
</w:styles>
</file>

<file path=word/webSettings.xml><?xml version="1.0" encoding="utf-8"?>
<w:webSettings xmlns:r="http://schemas.openxmlformats.org/officeDocument/2006/relationships" xmlns:w="http://schemas.openxmlformats.org/wordprocessingml/2006/main">
  <w:divs>
    <w:div w:id="610820818">
      <w:bodyDiv w:val="1"/>
      <w:marLeft w:val="0"/>
      <w:marRight w:val="0"/>
      <w:marTop w:val="0"/>
      <w:marBottom w:val="0"/>
      <w:divBdr>
        <w:top w:val="none" w:sz="0" w:space="0" w:color="auto"/>
        <w:left w:val="none" w:sz="0" w:space="0" w:color="auto"/>
        <w:bottom w:val="none" w:sz="0" w:space="0" w:color="auto"/>
        <w:right w:val="none" w:sz="0" w:space="0" w:color="auto"/>
      </w:divBdr>
      <w:divsChild>
        <w:div w:id="1690986507">
          <w:marLeft w:val="0"/>
          <w:marRight w:val="0"/>
          <w:marTop w:val="0"/>
          <w:marBottom w:val="0"/>
          <w:divBdr>
            <w:top w:val="none" w:sz="0" w:space="0" w:color="auto"/>
            <w:left w:val="none" w:sz="0" w:space="0" w:color="auto"/>
            <w:bottom w:val="none" w:sz="0" w:space="0" w:color="auto"/>
            <w:right w:val="none" w:sz="0" w:space="0" w:color="auto"/>
          </w:divBdr>
          <w:divsChild>
            <w:div w:id="675153549">
              <w:marLeft w:val="0"/>
              <w:marRight w:val="0"/>
              <w:marTop w:val="0"/>
              <w:marBottom w:val="0"/>
              <w:divBdr>
                <w:top w:val="none" w:sz="0" w:space="0" w:color="auto"/>
                <w:left w:val="none" w:sz="0" w:space="0" w:color="auto"/>
                <w:bottom w:val="none" w:sz="0" w:space="0" w:color="auto"/>
                <w:right w:val="none" w:sz="0" w:space="0" w:color="auto"/>
              </w:divBdr>
              <w:divsChild>
                <w:div w:id="21034058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82251489">
      <w:bodyDiv w:val="1"/>
      <w:marLeft w:val="0"/>
      <w:marRight w:val="0"/>
      <w:marTop w:val="0"/>
      <w:marBottom w:val="0"/>
      <w:divBdr>
        <w:top w:val="none" w:sz="0" w:space="0" w:color="auto"/>
        <w:left w:val="none" w:sz="0" w:space="0" w:color="auto"/>
        <w:bottom w:val="none" w:sz="0" w:space="0" w:color="auto"/>
        <w:right w:val="none" w:sz="0" w:space="0" w:color="auto"/>
      </w:divBdr>
    </w:div>
    <w:div w:id="1424304124">
      <w:bodyDiv w:val="1"/>
      <w:marLeft w:val="0"/>
      <w:marRight w:val="0"/>
      <w:marTop w:val="0"/>
      <w:marBottom w:val="0"/>
      <w:divBdr>
        <w:top w:val="none" w:sz="0" w:space="0" w:color="auto"/>
        <w:left w:val="none" w:sz="0" w:space="0" w:color="auto"/>
        <w:bottom w:val="none" w:sz="0" w:space="0" w:color="auto"/>
        <w:right w:val="none" w:sz="0" w:space="0" w:color="auto"/>
      </w:divBdr>
    </w:div>
    <w:div w:id="2077706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7</Pages>
  <Words>545</Words>
  <Characters>3109</Characters>
  <Application>Microsoft Office Word</Application>
  <DocSecurity>0</DocSecurity>
  <Lines>25</Lines>
  <Paragraphs>7</Paragraphs>
  <ScaleCrop>false</ScaleCrop>
  <Company>HaseeComputer</Company>
  <LinksUpToDate>false</LinksUpToDate>
  <CharactersWithSpaces>3647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hasee</dc:creator>
  <cp:lastModifiedBy>hasee</cp:lastModifiedBy>
  <cp:revision>3</cp:revision>
  <dcterms:created xsi:type="dcterms:W3CDTF">2021-05-27T03:09:00Z</dcterms:created>
  <dcterms:modified xsi:type="dcterms:W3CDTF">2021-05-27T08:48:00Z</dcterms:modified>
</cp:coreProperties>
</file>